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368" w:rsidRPr="0054389C" w:rsidRDefault="00836368" w:rsidP="0083636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101-bis-e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AC33E5">
        <w:rPr>
          <w:rFonts w:ascii="Arial" w:eastAsia="宋体" w:hAnsi="Arial" w:cs="Arial"/>
          <w:b/>
          <w:sz w:val="24"/>
          <w:lang w:val="en-GB"/>
        </w:rPr>
        <w:t>0682</w:t>
      </w:r>
    </w:p>
    <w:p w:rsidR="00836368" w:rsidRPr="00B40311" w:rsidRDefault="00836368" w:rsidP="0083636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 </w:t>
      </w:r>
      <w:r>
        <w:rPr>
          <w:rFonts w:ascii="Arial" w:eastAsia="宋体" w:hAnsi="Arial" w:cs="Arial"/>
          <w:b/>
          <w:sz w:val="24"/>
          <w:lang w:val="en-GB" w:eastAsia="ko-KR"/>
        </w:rPr>
        <w:t>25</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Jan.</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41CD4">
        <w:rPr>
          <w:rFonts w:ascii="Arial" w:eastAsia="宋体" w:hAnsi="Arial" w:cs="Arial"/>
          <w:b/>
          <w:sz w:val="24"/>
          <w:lang w:val="en-GB" w:eastAsia="ko-KR"/>
        </w:rPr>
        <w:t>Further d</w:t>
      </w:r>
      <w:r w:rsidR="00E21702" w:rsidRPr="00E21702">
        <w:rPr>
          <w:rFonts w:ascii="Arial" w:eastAsia="宋体" w:hAnsi="Arial" w:cs="Arial"/>
          <w:b/>
          <w:sz w:val="24"/>
          <w:lang w:val="en-GB"/>
        </w:rPr>
        <w:t xml:space="preserve">iscussion on </w:t>
      </w:r>
      <w:r w:rsidR="007D3840">
        <w:rPr>
          <w:rFonts w:ascii="Arial" w:eastAsia="宋体" w:hAnsi="Arial" w:cs="Arial"/>
          <w:b/>
          <w:sz w:val="24"/>
          <w:lang w:val="en-GB"/>
        </w:rPr>
        <w:t>measurement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D61EA" w:rsidRPr="00AC33E5">
        <w:rPr>
          <w:rFonts w:ascii="Arial" w:eastAsia="宋体" w:hAnsi="Arial" w:cs="Arial"/>
          <w:b/>
          <w:sz w:val="24"/>
          <w:lang w:val="en-GB" w:eastAsia="ko-KR"/>
        </w:rPr>
        <w:t>6</w:t>
      </w:r>
      <w:r w:rsidR="00A00DF2" w:rsidRPr="00AC33E5">
        <w:rPr>
          <w:rFonts w:ascii="Arial" w:eastAsia="宋体" w:hAnsi="Arial" w:cs="Arial"/>
          <w:b/>
          <w:sz w:val="24"/>
          <w:lang w:val="en-GB" w:eastAsia="ko-KR"/>
        </w:rPr>
        <w:t>.1</w:t>
      </w:r>
      <w:r w:rsidR="00121ABC" w:rsidRPr="00AC33E5">
        <w:rPr>
          <w:rFonts w:ascii="Arial" w:eastAsia="宋体" w:hAnsi="Arial" w:cs="Arial"/>
          <w:b/>
          <w:sz w:val="24"/>
          <w:lang w:val="en-GB" w:eastAsia="ko-KR"/>
        </w:rPr>
        <w:t>3</w:t>
      </w:r>
      <w:r w:rsidR="00A00DF2" w:rsidRPr="00AC33E5">
        <w:rPr>
          <w:rFonts w:ascii="Arial" w:eastAsia="宋体" w:hAnsi="Arial" w:cs="Arial"/>
          <w:b/>
          <w:sz w:val="24"/>
          <w:lang w:val="en-GB" w:eastAsia="ko-KR"/>
        </w:rPr>
        <w:t>.</w:t>
      </w:r>
      <w:r w:rsidR="00121ABC" w:rsidRPr="00AC33E5">
        <w:rPr>
          <w:rFonts w:ascii="Arial" w:eastAsia="宋体" w:hAnsi="Arial" w:cs="Arial"/>
          <w:b/>
          <w:sz w:val="24"/>
          <w:lang w:val="en-GB" w:eastAsia="ko-KR"/>
        </w:rPr>
        <w:t>5</w:t>
      </w:r>
      <w:r w:rsidR="00A00DF2" w:rsidRPr="00AC33E5">
        <w:rPr>
          <w:rFonts w:ascii="Arial" w:eastAsia="宋体" w:hAnsi="Arial" w:cs="Arial"/>
          <w:b/>
          <w:sz w:val="24"/>
          <w:lang w:val="en-GB" w:eastAsia="ko-KR"/>
        </w:rPr>
        <w:t>.</w:t>
      </w:r>
      <w:r w:rsidR="00121ABC" w:rsidRPr="00AC33E5">
        <w:rPr>
          <w:rFonts w:ascii="Arial" w:eastAsia="宋体" w:hAnsi="Arial" w:cs="Arial"/>
          <w:b/>
          <w:sz w:val="24"/>
          <w:lang w:val="en-GB" w:eastAsia="ko-KR"/>
        </w:rPr>
        <w:t>5</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836368">
        <w:rPr>
          <w:rFonts w:ascii="Times New Roman" w:hAnsi="Times New Roman" w:cs="Times New Roman"/>
          <w:sz w:val="20"/>
          <w:szCs w:val="20"/>
        </w:rPr>
        <w:t>101</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discussion on </w:t>
      </w:r>
      <w:r w:rsidR="00FD7275">
        <w:rPr>
          <w:rFonts w:ascii="Times New Roman" w:hAnsi="Times New Roman" w:cs="Times New Roman"/>
          <w:sz w:val="20"/>
          <w:szCs w:val="20"/>
        </w:rPr>
        <w:t>measurement</w:t>
      </w:r>
      <w:r>
        <w:rPr>
          <w:rFonts w:ascii="Times New Roman" w:hAnsi="Times New Roman" w:cs="Times New Roman"/>
          <w:sz w:val="20"/>
          <w:szCs w:val="20"/>
        </w:rPr>
        <w:t xml:space="preserve"> requirement for </w:t>
      </w:r>
      <w:r w:rsidR="00FD7275">
        <w:rPr>
          <w:rFonts w:ascii="Times New Roman" w:hAnsi="Times New Roman" w:cs="Times New Roman"/>
          <w:sz w:val="20"/>
          <w:szCs w:val="20"/>
        </w:rPr>
        <w:t xml:space="preserve">NR </w:t>
      </w:r>
      <w:r>
        <w:rPr>
          <w:rFonts w:ascii="Times New Roman" w:hAnsi="Times New Roman" w:cs="Times New Roman"/>
          <w:sz w:val="20"/>
          <w:szCs w:val="20"/>
        </w:rPr>
        <w:t xml:space="preserve">NTN, and the WF on NR NTN RRM requirements was approved in [1]. In this contribution, we discuss the measurement related requirements for </w:t>
      </w:r>
      <w:r w:rsidR="00836368">
        <w:rPr>
          <w:rFonts w:ascii="Times New Roman" w:hAnsi="Times New Roman" w:cs="Times New Roman" w:hint="eastAsia"/>
          <w:sz w:val="20"/>
          <w:szCs w:val="20"/>
        </w:rPr>
        <w:t>NR</w:t>
      </w:r>
      <w:r w:rsidR="00836368">
        <w:rPr>
          <w:rFonts w:ascii="Times New Roman" w:hAnsi="Times New Roman" w:cs="Times New Roman"/>
          <w:sz w:val="20"/>
          <w:szCs w:val="20"/>
        </w:rPr>
        <w:t xml:space="preserve"> </w:t>
      </w:r>
      <w:r>
        <w:rPr>
          <w:rFonts w:ascii="Times New Roman" w:hAnsi="Times New Roman" w:cs="Times New Roman"/>
          <w:sz w:val="20"/>
          <w:szCs w:val="20"/>
        </w:rPr>
        <w:t>NTN and provide our proposals.</w:t>
      </w:r>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D52674" w:rsidRPr="00D52674" w:rsidRDefault="00D71435" w:rsidP="009E1AB0">
      <w:pPr>
        <w:rPr>
          <w:rFonts w:ascii="Times New Roman" w:hAnsi="Times New Roman" w:cs="Times New Roman"/>
          <w:b/>
          <w:sz w:val="20"/>
          <w:szCs w:val="20"/>
          <w:u w:val="single"/>
        </w:rPr>
      </w:pPr>
      <w:r>
        <w:rPr>
          <w:rFonts w:ascii="Times New Roman" w:hAnsi="Times New Roman" w:cs="Times New Roman"/>
          <w:b/>
          <w:sz w:val="20"/>
          <w:szCs w:val="20"/>
          <w:u w:val="single"/>
        </w:rPr>
        <w:t>RRM requirements for TN-NTN case</w:t>
      </w:r>
    </w:p>
    <w:p w:rsidR="00D71435" w:rsidRDefault="0003555E" w:rsidP="009E1AB0">
      <w:pPr>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sidR="00D71435">
        <w:rPr>
          <w:rFonts w:ascii="Times New Roman" w:hAnsi="Times New Roman" w:cs="Times New Roman"/>
          <w:sz w:val="20"/>
          <w:szCs w:val="20"/>
        </w:rPr>
        <w:t>RAN4#100e</w:t>
      </w:r>
      <w:r>
        <w:rPr>
          <w:rFonts w:ascii="Times New Roman" w:hAnsi="Times New Roman" w:cs="Times New Roman"/>
          <w:sz w:val="20"/>
          <w:szCs w:val="20"/>
        </w:rPr>
        <w:t xml:space="preserve"> meeting, </w:t>
      </w:r>
      <w:r w:rsidR="00D71435">
        <w:rPr>
          <w:rFonts w:ascii="Times New Roman" w:hAnsi="Times New Roman" w:cs="Times New Roman"/>
          <w:sz w:val="20"/>
          <w:szCs w:val="20"/>
        </w:rPr>
        <w:t>for</w:t>
      </w:r>
      <w:r w:rsidR="00D71435" w:rsidRPr="00D71435">
        <w:rPr>
          <w:rFonts w:ascii="Times New Roman" w:hAnsi="Times New Roman" w:cs="Times New Roman"/>
          <w:sz w:val="20"/>
          <w:szCs w:val="20"/>
        </w:rPr>
        <w:t xml:space="preserve"> </w:t>
      </w:r>
      <w:r w:rsidR="00D71435">
        <w:rPr>
          <w:rFonts w:ascii="Times New Roman" w:hAnsi="Times New Roman" w:cs="Times New Roman"/>
          <w:sz w:val="20"/>
          <w:szCs w:val="20"/>
        </w:rPr>
        <w:t>TN-NTN scenarios, it was</w:t>
      </w:r>
      <w:r>
        <w:rPr>
          <w:rFonts w:ascii="Times New Roman" w:hAnsi="Times New Roman" w:cs="Times New Roman"/>
          <w:sz w:val="20"/>
          <w:szCs w:val="20"/>
        </w:rPr>
        <w:t xml:space="preserve"> agreed </w:t>
      </w:r>
      <w:r w:rsidR="00D71435">
        <w:rPr>
          <w:rFonts w:ascii="Times New Roman" w:hAnsi="Times New Roman" w:cs="Times New Roman"/>
          <w:sz w:val="20"/>
          <w:szCs w:val="20"/>
        </w:rPr>
        <w:t>to define measurement and mobility requirements for RRC_idle/inactive mode, and FFS whether to define measurement and mobility requirements for RRC_Connected mode.</w:t>
      </w:r>
      <w:r w:rsidR="001C14A4">
        <w:rPr>
          <w:rFonts w:ascii="Times New Roman" w:hAnsi="Times New Roman" w:cs="Times New Roman"/>
          <w:sz w:val="20"/>
          <w:szCs w:val="20"/>
        </w:rPr>
        <w:t xml:space="preserve"> According to RAN2’s conclusion, </w:t>
      </w:r>
      <w:r w:rsidR="00D35EAE">
        <w:rPr>
          <w:rFonts w:ascii="Times New Roman" w:hAnsi="Times New Roman" w:cs="Times New Roman"/>
          <w:sz w:val="20"/>
          <w:szCs w:val="20"/>
        </w:rPr>
        <w:t xml:space="preserve">the same CHO trigger conditions and RRM events can be used within NTN and NTN-TN mobility, and </w:t>
      </w:r>
      <w:r w:rsidR="001C14A4">
        <w:rPr>
          <w:rFonts w:ascii="Times New Roman" w:hAnsi="Times New Roman" w:cs="Times New Roman"/>
          <w:sz w:val="20"/>
          <w:szCs w:val="20"/>
        </w:rPr>
        <w:t>the</w:t>
      </w:r>
      <w:r w:rsidR="00D35EAE">
        <w:rPr>
          <w:rFonts w:ascii="Times New Roman" w:hAnsi="Times New Roman" w:cs="Times New Roman"/>
          <w:sz w:val="20"/>
          <w:szCs w:val="20"/>
        </w:rPr>
        <w:t xml:space="preserve"> specific further</w:t>
      </w:r>
      <w:r w:rsidR="001C14A4">
        <w:rPr>
          <w:rFonts w:ascii="Times New Roman" w:hAnsi="Times New Roman" w:cs="Times New Roman"/>
          <w:sz w:val="20"/>
          <w:szCs w:val="20"/>
        </w:rPr>
        <w:t xml:space="preserve"> enhancement for TN-NTN mobility in RRC_Connected mode is </w:t>
      </w:r>
      <w:r w:rsidR="00D35EAE">
        <w:rPr>
          <w:rFonts w:ascii="Times New Roman" w:hAnsi="Times New Roman" w:cs="Times New Roman"/>
          <w:sz w:val="20"/>
          <w:szCs w:val="20"/>
        </w:rPr>
        <w:t>deprioritized.</w:t>
      </w:r>
      <w:r w:rsidR="001C14A4">
        <w:rPr>
          <w:rFonts w:ascii="Times New Roman" w:hAnsi="Times New Roman" w:cs="Times New Roman"/>
          <w:sz w:val="20"/>
          <w:szCs w:val="20"/>
        </w:rPr>
        <w:t xml:space="preserve"> </w:t>
      </w:r>
      <w:r w:rsidR="001F0ACE">
        <w:rPr>
          <w:rFonts w:ascii="Times New Roman" w:hAnsi="Times New Roman" w:cs="Times New Roman"/>
          <w:sz w:val="20"/>
          <w:szCs w:val="20"/>
        </w:rPr>
        <w:t xml:space="preserve">It means that the mobility enhancement for NTN case can be applied to TN-NTN case. </w:t>
      </w:r>
      <w:r w:rsidR="005E6D05">
        <w:rPr>
          <w:rFonts w:ascii="Times New Roman" w:hAnsi="Times New Roman" w:cs="Times New Roman"/>
          <w:sz w:val="20"/>
          <w:szCs w:val="20"/>
        </w:rPr>
        <w:t>Thus,</w:t>
      </w:r>
      <w:r w:rsidR="001C14A4">
        <w:rPr>
          <w:rFonts w:ascii="Times New Roman" w:hAnsi="Times New Roman" w:cs="Times New Roman"/>
          <w:sz w:val="20"/>
          <w:szCs w:val="20"/>
        </w:rPr>
        <w:t xml:space="preserve"> the </w:t>
      </w:r>
      <w:r w:rsidR="005E6D05">
        <w:rPr>
          <w:rFonts w:ascii="Times New Roman" w:hAnsi="Times New Roman" w:cs="Times New Roman"/>
          <w:sz w:val="20"/>
          <w:szCs w:val="20"/>
        </w:rPr>
        <w:t>N</w:t>
      </w:r>
      <w:r w:rsidR="001C14A4">
        <w:rPr>
          <w:rFonts w:ascii="Times New Roman" w:hAnsi="Times New Roman" w:cs="Times New Roman"/>
          <w:sz w:val="20"/>
          <w:szCs w:val="20"/>
        </w:rPr>
        <w:t xml:space="preserve">TN mobility </w:t>
      </w:r>
      <w:r w:rsidR="005E6D05">
        <w:rPr>
          <w:rFonts w:ascii="Times New Roman" w:hAnsi="Times New Roman" w:cs="Times New Roman"/>
          <w:sz w:val="20"/>
          <w:szCs w:val="20"/>
        </w:rPr>
        <w:t>requirements</w:t>
      </w:r>
      <w:r w:rsidR="001C14A4">
        <w:rPr>
          <w:rFonts w:ascii="Times New Roman" w:hAnsi="Times New Roman" w:cs="Times New Roman"/>
          <w:sz w:val="20"/>
          <w:szCs w:val="20"/>
        </w:rPr>
        <w:t xml:space="preserve"> can be applied to TN-NTN mobility. </w:t>
      </w:r>
    </w:p>
    <w:tbl>
      <w:tblPr>
        <w:tblW w:w="829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1"/>
      </w:tblGrid>
      <w:tr w:rsidR="00D35EAE" w:rsidTr="00D35EAE">
        <w:trPr>
          <w:trHeight w:val="613"/>
        </w:trPr>
        <w:tc>
          <w:tcPr>
            <w:tcW w:w="8291" w:type="dxa"/>
          </w:tcPr>
          <w:p w:rsidR="00D35EAE" w:rsidRPr="00D35EAE" w:rsidRDefault="00D35EAE" w:rsidP="00D35EAE">
            <w:pPr>
              <w:rPr>
                <w:rFonts w:ascii="Times New Roman" w:hAnsi="Times New Roman" w:cs="Times New Roman"/>
                <w:b/>
                <w:sz w:val="20"/>
                <w:szCs w:val="20"/>
              </w:rPr>
            </w:pPr>
            <w:r w:rsidRPr="00D35EAE">
              <w:rPr>
                <w:rFonts w:ascii="Times New Roman" w:hAnsi="Times New Roman" w:cs="Times New Roman"/>
                <w:b/>
                <w:sz w:val="20"/>
                <w:szCs w:val="20"/>
              </w:rPr>
              <w:t>Agreements in RAN2</w:t>
            </w:r>
            <w:r w:rsidRPr="00D35EAE">
              <w:rPr>
                <w:rFonts w:ascii="Times New Roman" w:hAnsi="Times New Roman" w:cs="Times New Roman" w:hint="eastAsia"/>
                <w:b/>
                <w:sz w:val="20"/>
                <w:szCs w:val="20"/>
              </w:rPr>
              <w:t>#</w:t>
            </w:r>
            <w:r w:rsidRPr="00D35EAE">
              <w:rPr>
                <w:rFonts w:ascii="Times New Roman" w:hAnsi="Times New Roman" w:cs="Times New Roman"/>
                <w:b/>
                <w:sz w:val="20"/>
                <w:szCs w:val="20"/>
              </w:rPr>
              <w:t>114</w:t>
            </w:r>
            <w:r w:rsidRPr="00D35EAE">
              <w:rPr>
                <w:rFonts w:ascii="Times New Roman" w:hAnsi="Times New Roman" w:cs="Times New Roman" w:hint="eastAsia"/>
                <w:b/>
                <w:sz w:val="20"/>
                <w:szCs w:val="20"/>
              </w:rPr>
              <w:t>e</w:t>
            </w:r>
            <w:r w:rsidRPr="00D35EAE">
              <w:rPr>
                <w:rFonts w:ascii="Times New Roman" w:hAnsi="Times New Roman" w:cs="Times New Roman"/>
                <w:b/>
                <w:sz w:val="20"/>
                <w:szCs w:val="20"/>
              </w:rPr>
              <w:t>:</w:t>
            </w:r>
          </w:p>
          <w:p w:rsidR="00D35EAE" w:rsidRDefault="00D35EAE" w:rsidP="00D35EAE">
            <w:pPr>
              <w:pStyle w:val="a9"/>
              <w:numPr>
                <w:ilvl w:val="0"/>
                <w:numId w:val="46"/>
              </w:numPr>
              <w:ind w:firstLineChars="0"/>
              <w:rPr>
                <w:rFonts w:ascii="Times New Roman" w:hAnsi="Times New Roman" w:cs="Times New Roman"/>
                <w:sz w:val="20"/>
                <w:szCs w:val="20"/>
              </w:rPr>
            </w:pPr>
            <w:r w:rsidRPr="00D35EAE">
              <w:rPr>
                <w:rFonts w:ascii="Times New Roman" w:hAnsi="Times New Roman" w:cs="Times New Roman"/>
                <w:sz w:val="20"/>
                <w:szCs w:val="20"/>
              </w:rPr>
              <w:t>Same CHO trigger conditions and RRM events can be used within NTN and NTN-TN mobility provided these are supported by the UE. NTN-TN means both “from NTN to TN (hand-in)” and “from NTN to TN (hand-in) and from TN to NTN (hand-out)". FFS for enhancements.</w:t>
            </w:r>
          </w:p>
          <w:p w:rsidR="00D35EAE" w:rsidRPr="00D35EAE" w:rsidRDefault="00D35EAE" w:rsidP="00D35EAE">
            <w:pPr>
              <w:rPr>
                <w:rFonts w:ascii="Times New Roman" w:hAnsi="Times New Roman" w:cs="Times New Roman"/>
                <w:b/>
                <w:sz w:val="20"/>
                <w:szCs w:val="20"/>
              </w:rPr>
            </w:pPr>
            <w:r w:rsidRPr="00D35EAE">
              <w:rPr>
                <w:rFonts w:ascii="Times New Roman" w:hAnsi="Times New Roman" w:cs="Times New Roman"/>
                <w:b/>
                <w:sz w:val="20"/>
                <w:szCs w:val="20"/>
              </w:rPr>
              <w:t>Agreements in RAN2</w:t>
            </w:r>
            <w:r w:rsidRPr="00D35EAE">
              <w:rPr>
                <w:rFonts w:ascii="Times New Roman" w:hAnsi="Times New Roman" w:cs="Times New Roman" w:hint="eastAsia"/>
                <w:b/>
                <w:sz w:val="20"/>
                <w:szCs w:val="20"/>
              </w:rPr>
              <w:t>#</w:t>
            </w:r>
            <w:r w:rsidR="005E6D05">
              <w:rPr>
                <w:rFonts w:ascii="Times New Roman" w:hAnsi="Times New Roman" w:cs="Times New Roman"/>
                <w:b/>
                <w:sz w:val="20"/>
                <w:szCs w:val="20"/>
              </w:rPr>
              <w:t>115</w:t>
            </w:r>
            <w:r w:rsidRPr="00D35EAE">
              <w:rPr>
                <w:rFonts w:ascii="Times New Roman" w:hAnsi="Times New Roman" w:cs="Times New Roman" w:hint="eastAsia"/>
                <w:b/>
                <w:sz w:val="20"/>
                <w:szCs w:val="20"/>
              </w:rPr>
              <w:t>e</w:t>
            </w:r>
            <w:r w:rsidRPr="00D35EAE">
              <w:rPr>
                <w:rFonts w:ascii="Times New Roman" w:hAnsi="Times New Roman" w:cs="Times New Roman"/>
                <w:b/>
                <w:sz w:val="20"/>
                <w:szCs w:val="20"/>
              </w:rPr>
              <w:t>:</w:t>
            </w:r>
          </w:p>
          <w:p w:rsidR="00D35EAE" w:rsidRPr="00D35EAE" w:rsidRDefault="00D35EAE" w:rsidP="005E6D05">
            <w:pPr>
              <w:pStyle w:val="a9"/>
              <w:numPr>
                <w:ilvl w:val="0"/>
                <w:numId w:val="48"/>
              </w:numPr>
              <w:ind w:firstLineChars="0"/>
            </w:pPr>
            <w:r w:rsidRPr="00D35EAE">
              <w:t>RAN2 down priorities further enhacnements for connected mode for Rel-17 for TN-NTN mobility</w:t>
            </w:r>
            <w:r w:rsidRPr="000969A9">
              <w:tab/>
            </w:r>
          </w:p>
        </w:tc>
      </w:tr>
    </w:tbl>
    <w:p w:rsidR="001C14A4" w:rsidRPr="001F0ACE" w:rsidRDefault="001F0ACE" w:rsidP="001F0ACE">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sidRPr="001F0ACE">
        <w:rPr>
          <w:rFonts w:ascii="Times New Roman" w:hAnsi="Times New Roman" w:cs="Times New Roman"/>
          <w:b/>
          <w:sz w:val="20"/>
          <w:szCs w:val="20"/>
        </w:rPr>
        <w:t>roposal 1: RAN4 to define measurement and mobility requirements in RRC_Connected mode for TN-NTN case, and the NTN measurement and mobility requirement is applied to TN-NTN case.</w:t>
      </w:r>
    </w:p>
    <w:p w:rsidR="001C14A4" w:rsidRPr="001F0ACE" w:rsidRDefault="008E641F" w:rsidP="009E1AB0">
      <w:pPr>
        <w:rPr>
          <w:rFonts w:ascii="Times New Roman" w:hAnsi="Times New Roman" w:cs="Times New Roman"/>
          <w:b/>
          <w:sz w:val="20"/>
          <w:szCs w:val="20"/>
          <w:u w:val="single"/>
        </w:rPr>
      </w:pPr>
      <w:r>
        <w:rPr>
          <w:rFonts w:ascii="Times New Roman" w:hAnsi="Times New Roman" w:cs="Times New Roman"/>
          <w:b/>
          <w:sz w:val="20"/>
          <w:szCs w:val="20"/>
          <w:u w:val="single"/>
        </w:rPr>
        <w:t>UE measurement capabilities</w:t>
      </w:r>
    </w:p>
    <w:p w:rsidR="001F0ACE" w:rsidRDefault="008E641F" w:rsidP="009E1AB0">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legacy TN network, UE measurement capabilities are defined based on the number of carrier, cell and </w:t>
      </w:r>
      <w:r w:rsidR="00693EE5">
        <w:rPr>
          <w:rFonts w:ascii="Times New Roman" w:hAnsi="Times New Roman" w:cs="Times New Roman"/>
          <w:sz w:val="20"/>
          <w:szCs w:val="20"/>
        </w:rPr>
        <w:t>SSB</w:t>
      </w:r>
      <w:r>
        <w:rPr>
          <w:rFonts w:ascii="Times New Roman" w:hAnsi="Times New Roman" w:cs="Times New Roman"/>
          <w:sz w:val="20"/>
          <w:szCs w:val="20"/>
        </w:rPr>
        <w:t xml:space="preserve">. However, since the satellite deployment is different from TN system, </w:t>
      </w:r>
      <w:r w:rsidR="00693EE5">
        <w:rPr>
          <w:rFonts w:ascii="Times New Roman" w:hAnsi="Times New Roman" w:cs="Times New Roman"/>
          <w:sz w:val="20"/>
          <w:szCs w:val="20"/>
        </w:rPr>
        <w:t xml:space="preserve">especially in the early phase, the NTN deployment is not as dense as TN network, thus, </w:t>
      </w:r>
      <w:r>
        <w:rPr>
          <w:rFonts w:ascii="Times New Roman" w:hAnsi="Times New Roman" w:cs="Times New Roman"/>
          <w:sz w:val="20"/>
          <w:szCs w:val="20"/>
        </w:rPr>
        <w:t xml:space="preserve">the UE measurement </w:t>
      </w:r>
      <w:r w:rsidR="00693EE5">
        <w:rPr>
          <w:rFonts w:ascii="Times New Roman" w:hAnsi="Times New Roman" w:cs="Times New Roman"/>
          <w:sz w:val="20"/>
          <w:szCs w:val="20"/>
        </w:rPr>
        <w:t>capabilities for NTN case should be defined separately from TN case. And, it is proposed that the UE is capable to monitor at least 3 NTN carriers. The number of cells/SSB to be monitored is highly depend on the satellite implementation, e.g. frequency reuse</w:t>
      </w:r>
      <w:r w:rsidR="00693EE5" w:rsidRPr="00693EE5">
        <w:rPr>
          <w:rFonts w:ascii="Times New Roman" w:hAnsi="Times New Roman" w:cs="Times New Roman"/>
          <w:sz w:val="20"/>
          <w:szCs w:val="20"/>
        </w:rPr>
        <w:t xml:space="preserve"> </w:t>
      </w:r>
      <w:r w:rsidR="00693EE5">
        <w:rPr>
          <w:rFonts w:ascii="Times New Roman" w:hAnsi="Times New Roman" w:cs="Times New Roman"/>
          <w:sz w:val="20"/>
          <w:szCs w:val="20"/>
        </w:rPr>
        <w:t xml:space="preserve">factor and </w:t>
      </w:r>
      <w:r w:rsidR="00635B81">
        <w:rPr>
          <w:rFonts w:ascii="Times New Roman" w:hAnsi="Times New Roman" w:cs="Times New Roman"/>
          <w:sz w:val="20"/>
          <w:szCs w:val="20"/>
        </w:rPr>
        <w:t>PCI mapping scheme into satellite beam.</w:t>
      </w:r>
    </w:p>
    <w:p w:rsidR="001F0ACE" w:rsidRPr="00635B81" w:rsidRDefault="00635B81" w:rsidP="00635B81">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lastRenderedPageBreak/>
        <w:t>P</w:t>
      </w:r>
      <w:r>
        <w:rPr>
          <w:rFonts w:ascii="Times New Roman" w:hAnsi="Times New Roman" w:cs="Times New Roman"/>
          <w:b/>
          <w:sz w:val="20"/>
          <w:szCs w:val="20"/>
        </w:rPr>
        <w:t>roposal 2</w:t>
      </w:r>
      <w:r w:rsidRPr="001F0ACE">
        <w:rPr>
          <w:rFonts w:ascii="Times New Roman" w:hAnsi="Times New Roman" w:cs="Times New Roman"/>
          <w:b/>
          <w:sz w:val="20"/>
          <w:szCs w:val="20"/>
        </w:rPr>
        <w:t xml:space="preserve">: </w:t>
      </w:r>
      <w:r>
        <w:rPr>
          <w:rFonts w:ascii="Times New Roman" w:hAnsi="Times New Roman" w:cs="Times New Roman"/>
          <w:b/>
          <w:sz w:val="20"/>
          <w:szCs w:val="20"/>
        </w:rPr>
        <w:t>UE shall be capable to monitor at least 3 NTN carriers, FFS whether and how to define UE measurement capabilities on number of cell/SSB.</w:t>
      </w:r>
    </w:p>
    <w:p w:rsidR="001531D5" w:rsidRPr="001F24A9" w:rsidRDefault="000C0D75" w:rsidP="009E1AB0">
      <w:pPr>
        <w:rPr>
          <w:rFonts w:ascii="Times New Roman" w:hAnsi="Times New Roman" w:cs="Times New Roman"/>
          <w:b/>
          <w:sz w:val="20"/>
          <w:szCs w:val="20"/>
          <w:u w:val="single"/>
        </w:rPr>
      </w:pPr>
      <w:r>
        <w:rPr>
          <w:rFonts w:ascii="Times New Roman" w:hAnsi="Times New Roman" w:cs="Times New Roman"/>
          <w:b/>
          <w:sz w:val="20"/>
          <w:szCs w:val="20"/>
          <w:u w:val="single"/>
        </w:rPr>
        <w:t>Gapless m</w:t>
      </w:r>
      <w:r w:rsidR="00D65006">
        <w:rPr>
          <w:rFonts w:ascii="Times New Roman" w:hAnsi="Times New Roman" w:cs="Times New Roman"/>
          <w:b/>
          <w:sz w:val="20"/>
          <w:szCs w:val="20"/>
          <w:u w:val="single"/>
        </w:rPr>
        <w:t xml:space="preserve">easurement with multiple </w:t>
      </w:r>
      <w:r w:rsidR="001F24A9" w:rsidRPr="001F24A9">
        <w:rPr>
          <w:rFonts w:ascii="Times New Roman" w:hAnsi="Times New Roman" w:cs="Times New Roman" w:hint="eastAsia"/>
          <w:b/>
          <w:sz w:val="20"/>
          <w:szCs w:val="20"/>
          <w:u w:val="single"/>
        </w:rPr>
        <w:t>S</w:t>
      </w:r>
      <w:r w:rsidR="001F24A9" w:rsidRPr="001F24A9">
        <w:rPr>
          <w:rFonts w:ascii="Times New Roman" w:hAnsi="Times New Roman" w:cs="Times New Roman"/>
          <w:b/>
          <w:sz w:val="20"/>
          <w:szCs w:val="20"/>
          <w:u w:val="single"/>
        </w:rPr>
        <w:t>MTC</w:t>
      </w:r>
      <w:r w:rsidR="00D65006">
        <w:rPr>
          <w:rFonts w:ascii="Times New Roman" w:hAnsi="Times New Roman" w:cs="Times New Roman"/>
          <w:b/>
          <w:sz w:val="20"/>
          <w:szCs w:val="20"/>
          <w:u w:val="single"/>
        </w:rPr>
        <w:t>s</w:t>
      </w:r>
    </w:p>
    <w:p w:rsidR="00D65006" w:rsidRPr="00D65006" w:rsidRDefault="00D65006" w:rsidP="00D32851">
      <w:pPr>
        <w:rPr>
          <w:rFonts w:ascii="Times New Roman" w:hAnsi="Times New Roman" w:cs="Times New Roman"/>
          <w:sz w:val="20"/>
          <w:szCs w:val="20"/>
        </w:rPr>
      </w:pPr>
      <w:r>
        <w:rPr>
          <w:rFonts w:ascii="Times New Roman" w:hAnsi="Times New Roman" w:cs="Times New Roman"/>
          <w:sz w:val="20"/>
          <w:szCs w:val="20"/>
        </w:rPr>
        <w:t xml:space="preserve">The multiple SMTCs in one frequency layer was introduced by RAN2 is </w:t>
      </w:r>
      <w:r w:rsidR="00497E27">
        <w:rPr>
          <w:rFonts w:ascii="Times New Roman" w:hAnsi="Times New Roman" w:cs="Times New Roman"/>
          <w:sz w:val="20"/>
          <w:szCs w:val="20"/>
        </w:rPr>
        <w:t xml:space="preserve">aimed </w:t>
      </w:r>
      <w:r>
        <w:rPr>
          <w:rFonts w:ascii="Times New Roman" w:hAnsi="Times New Roman" w:cs="Times New Roman"/>
          <w:sz w:val="20"/>
          <w:szCs w:val="20"/>
        </w:rPr>
        <w:t>to address the propagation delay difference issue due to the different type of satellite</w:t>
      </w:r>
      <w:r w:rsidR="00497E27">
        <w:rPr>
          <w:rFonts w:ascii="Times New Roman" w:hAnsi="Times New Roman" w:cs="Times New Roman"/>
          <w:sz w:val="20"/>
          <w:szCs w:val="20"/>
        </w:rPr>
        <w:t xml:space="preserve">. And </w:t>
      </w:r>
      <w:r w:rsidR="009E3872">
        <w:rPr>
          <w:rFonts w:ascii="Times New Roman" w:hAnsi="Times New Roman" w:cs="Times New Roman" w:hint="eastAsia"/>
          <w:sz w:val="20"/>
          <w:szCs w:val="20"/>
        </w:rPr>
        <w:t>according</w:t>
      </w:r>
      <w:r w:rsidR="009E3872">
        <w:rPr>
          <w:rFonts w:ascii="Times New Roman" w:hAnsi="Times New Roman" w:cs="Times New Roman"/>
          <w:sz w:val="20"/>
          <w:szCs w:val="20"/>
        </w:rPr>
        <w:t xml:space="preserve"> to</w:t>
      </w:r>
      <w:r w:rsidR="00522EB1">
        <w:rPr>
          <w:rFonts w:ascii="Times New Roman" w:hAnsi="Times New Roman" w:cs="Times New Roman"/>
          <w:sz w:val="20"/>
          <w:szCs w:val="20"/>
        </w:rPr>
        <w:t xml:space="preserve"> RAN2 </w:t>
      </w:r>
      <w:r w:rsidR="009E3872">
        <w:rPr>
          <w:rFonts w:ascii="Times New Roman" w:hAnsi="Times New Roman" w:cs="Times New Roman"/>
          <w:sz w:val="20"/>
          <w:szCs w:val="20"/>
        </w:rPr>
        <w:t>conclusions</w:t>
      </w:r>
      <w:r w:rsidR="00522EB1">
        <w:rPr>
          <w:rFonts w:ascii="Times New Roman" w:hAnsi="Times New Roman" w:cs="Times New Roman"/>
          <w:sz w:val="20"/>
          <w:szCs w:val="20"/>
        </w:rPr>
        <w:t xml:space="preserve">, </w:t>
      </w:r>
      <w:r w:rsidR="000C0D75">
        <w:rPr>
          <w:rFonts w:ascii="Times New Roman" w:hAnsi="Times New Roman" w:cs="Times New Roman"/>
          <w:sz w:val="20"/>
          <w:szCs w:val="20"/>
        </w:rPr>
        <w:t>in NW-based solution, the network can configure up to 2 SMTCs in parallel for one frequency layer, and the UE should use all of them as there is no switching between or activation/deactivation of configured SMTCs</w:t>
      </w:r>
      <w:r w:rsidR="00F57684">
        <w:rPr>
          <w:rFonts w:ascii="Times New Roman" w:hAnsi="Times New Roman" w:cs="Times New Roman"/>
          <w:sz w:val="20"/>
          <w:szCs w:val="20"/>
        </w:rPr>
        <w:t>, and UE can optionally support 4 SMTCs in parallel</w:t>
      </w:r>
      <w:r w:rsidR="009E3872">
        <w:rPr>
          <w:rFonts w:ascii="Times New Roman" w:hAnsi="Times New Roman" w:cs="Times New Roman"/>
          <w:sz w:val="20"/>
          <w:szCs w:val="20"/>
        </w:rPr>
        <w:t>.</w:t>
      </w:r>
      <w:r w:rsidR="000C0D75">
        <w:rPr>
          <w:rFonts w:ascii="Times New Roman" w:hAnsi="Times New Roman" w:cs="Times New Roman"/>
          <w:sz w:val="20"/>
          <w:szCs w:val="20"/>
        </w:rPr>
        <w:t xml:space="preserve"> For the measurement without gap on the frequency layer with multiple SMTCs,</w:t>
      </w:r>
      <w:r w:rsidR="00522EB1">
        <w:rPr>
          <w:rFonts w:ascii="Times New Roman" w:hAnsi="Times New Roman" w:cs="Times New Roman"/>
          <w:sz w:val="20"/>
          <w:szCs w:val="20"/>
        </w:rPr>
        <w:t xml:space="preserve"> </w:t>
      </w:r>
      <w:r w:rsidR="000C0D75">
        <w:rPr>
          <w:rFonts w:ascii="Times New Roman" w:hAnsi="Times New Roman" w:cs="Times New Roman"/>
          <w:sz w:val="20"/>
          <w:szCs w:val="20"/>
        </w:rPr>
        <w:t>i</w:t>
      </w:r>
      <w:r w:rsidR="00522EB1">
        <w:rPr>
          <w:rFonts w:ascii="Times New Roman" w:hAnsi="Times New Roman" w:cs="Times New Roman"/>
          <w:sz w:val="20"/>
          <w:szCs w:val="20"/>
        </w:rPr>
        <w:t xml:space="preserve">f </w:t>
      </w:r>
      <w:r w:rsidR="000C0D75">
        <w:rPr>
          <w:rFonts w:ascii="Times New Roman" w:hAnsi="Times New Roman" w:cs="Times New Roman"/>
          <w:sz w:val="20"/>
          <w:szCs w:val="20"/>
        </w:rPr>
        <w:t>the</w:t>
      </w:r>
      <w:r w:rsidR="00522EB1">
        <w:rPr>
          <w:rFonts w:ascii="Times New Roman" w:hAnsi="Times New Roman" w:cs="Times New Roman"/>
          <w:sz w:val="20"/>
          <w:szCs w:val="20"/>
        </w:rPr>
        <w:t xml:space="preserve"> SMTCs are </w:t>
      </w:r>
      <w:r w:rsidR="009E3872">
        <w:rPr>
          <w:rFonts w:ascii="Times New Roman" w:hAnsi="Times New Roman" w:cs="Times New Roman"/>
          <w:sz w:val="20"/>
          <w:szCs w:val="20"/>
        </w:rPr>
        <w:t>too close or partial overlapping, UE may not have the capability to perform the measurements continuously or simultaneously</w:t>
      </w:r>
      <w:r w:rsidR="00927DC5">
        <w:rPr>
          <w:rFonts w:ascii="Times New Roman" w:hAnsi="Times New Roman" w:cs="Times New Roman"/>
          <w:sz w:val="20"/>
          <w:szCs w:val="20"/>
        </w:rPr>
        <w:t>, as shown in figure 1</w:t>
      </w:r>
      <w:r w:rsidR="009E3872">
        <w:rPr>
          <w:rFonts w:ascii="Times New Roman" w:hAnsi="Times New Roman" w:cs="Times New Roman"/>
          <w:sz w:val="20"/>
          <w:szCs w:val="20"/>
        </w:rPr>
        <w:t>.</w:t>
      </w:r>
      <w:r w:rsidR="00522EB1">
        <w:rPr>
          <w:rFonts w:ascii="Times New Roman" w:hAnsi="Times New Roman" w:cs="Times New Roman"/>
          <w:sz w:val="20"/>
          <w:szCs w:val="20"/>
        </w:rPr>
        <w:t xml:space="preserve"> </w:t>
      </w:r>
      <w:r w:rsidR="002E1F64">
        <w:rPr>
          <w:rFonts w:ascii="Times New Roman" w:hAnsi="Times New Roman" w:cs="Times New Roman"/>
          <w:sz w:val="20"/>
          <w:szCs w:val="20"/>
        </w:rPr>
        <w:t xml:space="preserve">Considering the UE capability on continuously or simultaneously measurements, </w:t>
      </w:r>
      <w:r w:rsidR="00927DC5">
        <w:rPr>
          <w:rFonts w:ascii="Times New Roman" w:hAnsi="Times New Roman" w:cs="Times New Roman"/>
          <w:sz w:val="20"/>
          <w:szCs w:val="20"/>
        </w:rPr>
        <w:t>the minimum distance for two SMTC in parallel should be defined.</w:t>
      </w:r>
      <w:r w:rsidR="009F6673">
        <w:rPr>
          <w:rFonts w:ascii="Times New Roman" w:hAnsi="Times New Roman" w:cs="Times New Roman"/>
          <w:sz w:val="20"/>
          <w:szCs w:val="20"/>
        </w:rPr>
        <w:t xml:space="preserve"> </w:t>
      </w:r>
      <w:r w:rsidR="002E1F64">
        <w:rPr>
          <w:rFonts w:ascii="Times New Roman" w:hAnsi="Times New Roman" w:cs="Times New Roman"/>
          <w:sz w:val="20"/>
          <w:szCs w:val="20"/>
        </w:rPr>
        <w:t>I</w:t>
      </w:r>
      <w:r w:rsidR="00F57684">
        <w:rPr>
          <w:rFonts w:ascii="Times New Roman" w:hAnsi="Times New Roman" w:cs="Times New Roman"/>
          <w:sz w:val="20"/>
          <w:szCs w:val="20"/>
        </w:rPr>
        <w:t xml:space="preserve">f the </w:t>
      </w:r>
      <w:r w:rsidR="004D1D42">
        <w:rPr>
          <w:rFonts w:ascii="Times New Roman" w:hAnsi="Times New Roman" w:cs="Times New Roman"/>
          <w:sz w:val="20"/>
          <w:szCs w:val="20"/>
        </w:rPr>
        <w:t xml:space="preserve">2 SMTCs are partially overlapping in time domain or the minimum distance is </w:t>
      </w:r>
      <w:r w:rsidR="000C0D75">
        <w:rPr>
          <w:rFonts w:ascii="Times New Roman" w:hAnsi="Times New Roman" w:cs="Times New Roman"/>
          <w:sz w:val="20"/>
          <w:szCs w:val="20"/>
        </w:rPr>
        <w:t>less</w:t>
      </w:r>
      <w:r w:rsidR="004D1D42">
        <w:rPr>
          <w:rFonts w:ascii="Times New Roman" w:hAnsi="Times New Roman" w:cs="Times New Roman"/>
          <w:sz w:val="20"/>
          <w:szCs w:val="20"/>
        </w:rPr>
        <w:t xml:space="preserve"> than 5ms</w:t>
      </w:r>
      <w:r w:rsidR="002E1F64">
        <w:rPr>
          <w:rFonts w:ascii="Times New Roman" w:hAnsi="Times New Roman" w:cs="Times New Roman"/>
          <w:sz w:val="20"/>
          <w:szCs w:val="20"/>
        </w:rPr>
        <w:t>, the 2 SMTC occasions can be considered as colliding</w:t>
      </w:r>
      <w:r w:rsidR="004D1D42">
        <w:rPr>
          <w:rFonts w:ascii="Times New Roman" w:hAnsi="Times New Roman" w:cs="Times New Roman"/>
          <w:sz w:val="20"/>
          <w:szCs w:val="20"/>
        </w:rPr>
        <w:t>.</w:t>
      </w:r>
      <w:r w:rsidR="00F57684">
        <w:rPr>
          <w:rFonts w:ascii="Times New Roman" w:hAnsi="Times New Roman" w:cs="Times New Roman"/>
          <w:sz w:val="20"/>
          <w:szCs w:val="20"/>
        </w:rPr>
        <w:t xml:space="preserve"> </w:t>
      </w:r>
      <w:r w:rsidR="009F6673">
        <w:rPr>
          <w:rFonts w:ascii="Times New Roman" w:hAnsi="Times New Roman" w:cs="Times New Roman"/>
          <w:sz w:val="20"/>
          <w:szCs w:val="20"/>
        </w:rPr>
        <w:t>If the</w:t>
      </w:r>
      <w:r w:rsidR="000C0D75">
        <w:rPr>
          <w:rFonts w:ascii="Times New Roman" w:hAnsi="Times New Roman" w:cs="Times New Roman"/>
          <w:sz w:val="20"/>
          <w:szCs w:val="20"/>
        </w:rPr>
        <w:t xml:space="preserve"> time</w:t>
      </w:r>
      <w:r w:rsidR="009F6673">
        <w:rPr>
          <w:rFonts w:ascii="Times New Roman" w:hAnsi="Times New Roman" w:cs="Times New Roman"/>
          <w:sz w:val="20"/>
          <w:szCs w:val="20"/>
        </w:rPr>
        <w:t xml:space="preserve"> gap between 2 SMTCs in parallel is smaller than the minimum distance, UE can drop the measurement on one of the SMTC if UE is not capable to perform continuously or simultaneously measurements, and the delay requirement</w:t>
      </w:r>
      <w:r w:rsidR="002E1F64">
        <w:rPr>
          <w:rFonts w:ascii="Times New Roman" w:hAnsi="Times New Roman" w:cs="Times New Roman"/>
          <w:sz w:val="20"/>
          <w:szCs w:val="20"/>
        </w:rPr>
        <w:t xml:space="preserve"> for the measurement without gap</w:t>
      </w:r>
      <w:r w:rsidR="009F6673">
        <w:rPr>
          <w:rFonts w:ascii="Times New Roman" w:hAnsi="Times New Roman" w:cs="Times New Roman"/>
          <w:sz w:val="20"/>
          <w:szCs w:val="20"/>
        </w:rPr>
        <w:t xml:space="preserve"> should be extended</w:t>
      </w:r>
      <w:r w:rsidR="00F57684">
        <w:rPr>
          <w:rFonts w:ascii="Times New Roman" w:hAnsi="Times New Roman" w:cs="Times New Roman"/>
          <w:sz w:val="20"/>
          <w:szCs w:val="20"/>
        </w:rPr>
        <w:t xml:space="preserve"> by a scaling factor</w:t>
      </w:r>
      <w:r w:rsidR="009F6673">
        <w:rPr>
          <w:rFonts w:ascii="Times New Roman" w:hAnsi="Times New Roman" w:cs="Times New Roman"/>
          <w:sz w:val="20"/>
          <w:szCs w:val="20"/>
        </w:rPr>
        <w:t>.</w:t>
      </w:r>
    </w:p>
    <w:p w:rsidR="006051A2" w:rsidRDefault="00BC7374" w:rsidP="006051A2">
      <w:pPr>
        <w:keepNext/>
        <w:jc w:val="center"/>
      </w:pPr>
      <w:r>
        <w:object w:dxaOrig="6940" w:dyaOrig="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90.85pt" o:ole="">
            <v:imagedata r:id="rId7" o:title=""/>
          </v:shape>
          <o:OLEObject Type="Embed" ProgID="Visio.Drawing.15" ShapeID="_x0000_i1025" DrawAspect="Content" ObjectID="_1703350560" r:id="rId8"/>
        </w:object>
      </w:r>
    </w:p>
    <w:p w:rsidR="00D65006" w:rsidRDefault="006051A2" w:rsidP="006051A2">
      <w:pPr>
        <w:pStyle w:val="a7"/>
        <w:jc w:val="center"/>
      </w:pPr>
      <w:r>
        <w:t xml:space="preserve">Figure </w:t>
      </w:r>
      <w:fldSimple w:instr=" SEQ Figure \* ARABIC ">
        <w:r>
          <w:rPr>
            <w:noProof/>
          </w:rPr>
          <w:t>1</w:t>
        </w:r>
      </w:fldSimple>
      <w:r>
        <w:t>: 2 SMTCs are overlapping</w:t>
      </w:r>
    </w:p>
    <w:p w:rsidR="009F6673" w:rsidRDefault="009F6673" w:rsidP="009F6673">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3</w:t>
      </w:r>
      <w:r w:rsidRPr="001F0ACE">
        <w:rPr>
          <w:rFonts w:ascii="Times New Roman" w:hAnsi="Times New Roman" w:cs="Times New Roman"/>
          <w:b/>
          <w:sz w:val="20"/>
          <w:szCs w:val="20"/>
        </w:rPr>
        <w:t xml:space="preserve">: </w:t>
      </w:r>
      <w:r w:rsidR="004D1D42">
        <w:rPr>
          <w:rFonts w:ascii="Times New Roman" w:hAnsi="Times New Roman" w:cs="Times New Roman"/>
          <w:b/>
          <w:sz w:val="20"/>
          <w:szCs w:val="20"/>
        </w:rPr>
        <w:t>Two</w:t>
      </w:r>
      <w:r w:rsidR="004D1D42" w:rsidRPr="004D1D42">
        <w:rPr>
          <w:rFonts w:ascii="Times New Roman" w:hAnsi="Times New Roman" w:cs="Times New Roman"/>
          <w:b/>
          <w:sz w:val="20"/>
          <w:szCs w:val="20"/>
        </w:rPr>
        <w:t xml:space="preserve"> SMTC occasions </w:t>
      </w:r>
      <w:r w:rsidR="004D1D42">
        <w:rPr>
          <w:rFonts w:ascii="Times New Roman" w:hAnsi="Times New Roman" w:cs="Times New Roman"/>
          <w:b/>
          <w:sz w:val="20"/>
          <w:szCs w:val="20"/>
        </w:rPr>
        <w:t xml:space="preserve">in parallel </w:t>
      </w:r>
      <w:r w:rsidR="00FE54F6">
        <w:rPr>
          <w:rFonts w:ascii="Times New Roman" w:hAnsi="Times New Roman" w:cs="Times New Roman"/>
          <w:b/>
          <w:sz w:val="20"/>
          <w:szCs w:val="20"/>
        </w:rPr>
        <w:t>are</w:t>
      </w:r>
      <w:r w:rsidR="004D1D42" w:rsidRPr="004D1D42">
        <w:rPr>
          <w:rFonts w:ascii="Times New Roman" w:hAnsi="Times New Roman" w:cs="Times New Roman"/>
          <w:b/>
          <w:sz w:val="20"/>
          <w:szCs w:val="20"/>
        </w:rPr>
        <w:t xml:space="preserve"> </w:t>
      </w:r>
      <w:r w:rsidR="004D1D42">
        <w:rPr>
          <w:rFonts w:ascii="Times New Roman" w:hAnsi="Times New Roman" w:cs="Times New Roman"/>
          <w:b/>
          <w:sz w:val="20"/>
          <w:szCs w:val="20"/>
        </w:rPr>
        <w:t>defined</w:t>
      </w:r>
      <w:r w:rsidR="004D1D42" w:rsidRPr="004D1D42">
        <w:rPr>
          <w:rFonts w:ascii="Times New Roman" w:hAnsi="Times New Roman" w:cs="Times New Roman"/>
          <w:b/>
          <w:sz w:val="20"/>
          <w:szCs w:val="20"/>
        </w:rPr>
        <w:t xml:space="preserve"> as colliding</w:t>
      </w:r>
      <w:r w:rsidR="004D1D42">
        <w:rPr>
          <w:rFonts w:ascii="Times New Roman" w:hAnsi="Times New Roman" w:cs="Times New Roman"/>
          <w:b/>
          <w:sz w:val="20"/>
          <w:szCs w:val="20"/>
        </w:rPr>
        <w:t xml:space="preserve"> (overlapping)</w:t>
      </w:r>
      <w:r w:rsidR="004D1D42" w:rsidRPr="004D1D42">
        <w:rPr>
          <w:rFonts w:ascii="Times New Roman" w:hAnsi="Times New Roman" w:cs="Times New Roman"/>
          <w:b/>
          <w:sz w:val="20"/>
          <w:szCs w:val="20"/>
        </w:rPr>
        <w:t xml:space="preserve"> if the 2 SMTCs are partially overlapping in time domain or the minimum distance is </w:t>
      </w:r>
      <w:r w:rsidR="00BC7374">
        <w:rPr>
          <w:rFonts w:ascii="Times New Roman" w:hAnsi="Times New Roman" w:cs="Times New Roman"/>
          <w:b/>
          <w:sz w:val="20"/>
          <w:szCs w:val="20"/>
        </w:rPr>
        <w:t>less</w:t>
      </w:r>
      <w:r w:rsidR="004D1D42" w:rsidRPr="004D1D42">
        <w:rPr>
          <w:rFonts w:ascii="Times New Roman" w:hAnsi="Times New Roman" w:cs="Times New Roman"/>
          <w:b/>
          <w:sz w:val="20"/>
          <w:szCs w:val="20"/>
        </w:rPr>
        <w:t xml:space="preserve"> than 5ms.</w:t>
      </w:r>
    </w:p>
    <w:p w:rsidR="004D1D42" w:rsidRDefault="004D1D42" w:rsidP="004D1D4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4</w:t>
      </w:r>
      <w:r w:rsidRPr="001F0ACE">
        <w:rPr>
          <w:rFonts w:ascii="Times New Roman" w:hAnsi="Times New Roman" w:cs="Times New Roman"/>
          <w:b/>
          <w:sz w:val="20"/>
          <w:szCs w:val="20"/>
        </w:rPr>
        <w:t xml:space="preserve">: </w:t>
      </w:r>
      <w:r w:rsidR="002E1F64">
        <w:rPr>
          <w:rFonts w:ascii="Times New Roman" w:hAnsi="Times New Roman" w:cs="Times New Roman"/>
          <w:b/>
          <w:sz w:val="20"/>
          <w:szCs w:val="20"/>
        </w:rPr>
        <w:t>For gapless measurement, i</w:t>
      </w:r>
      <w:r>
        <w:rPr>
          <w:rFonts w:ascii="Times New Roman" w:hAnsi="Times New Roman" w:cs="Times New Roman"/>
          <w:b/>
          <w:sz w:val="20"/>
          <w:szCs w:val="20"/>
        </w:rPr>
        <w:t xml:space="preserve">f </w:t>
      </w:r>
      <w:r w:rsidRPr="004D1D42">
        <w:rPr>
          <w:rFonts w:ascii="Times New Roman" w:hAnsi="Times New Roman" w:cs="Times New Roman"/>
          <w:b/>
          <w:sz w:val="20"/>
          <w:szCs w:val="20"/>
        </w:rPr>
        <w:t>SMTC</w:t>
      </w:r>
      <w:r>
        <w:rPr>
          <w:rFonts w:ascii="Times New Roman" w:hAnsi="Times New Roman" w:cs="Times New Roman"/>
          <w:b/>
          <w:sz w:val="20"/>
          <w:szCs w:val="20"/>
        </w:rPr>
        <w:t>s</w:t>
      </w:r>
      <w:r w:rsidRPr="004D1D42">
        <w:rPr>
          <w:rFonts w:ascii="Times New Roman" w:hAnsi="Times New Roman" w:cs="Times New Roman"/>
          <w:b/>
          <w:sz w:val="20"/>
          <w:szCs w:val="20"/>
        </w:rPr>
        <w:t xml:space="preserve"> </w:t>
      </w:r>
      <w:r>
        <w:rPr>
          <w:rFonts w:ascii="Times New Roman" w:hAnsi="Times New Roman" w:cs="Times New Roman"/>
          <w:b/>
          <w:sz w:val="20"/>
          <w:szCs w:val="20"/>
        </w:rPr>
        <w:t xml:space="preserve">in parallel </w:t>
      </w:r>
      <w:r w:rsidR="00FE54F6">
        <w:rPr>
          <w:rFonts w:ascii="Times New Roman" w:hAnsi="Times New Roman" w:cs="Times New Roman"/>
          <w:b/>
          <w:sz w:val="20"/>
          <w:szCs w:val="20"/>
        </w:rPr>
        <w:t>are</w:t>
      </w:r>
      <w:r w:rsidRPr="004D1D42">
        <w:rPr>
          <w:rFonts w:ascii="Times New Roman" w:hAnsi="Times New Roman" w:cs="Times New Roman"/>
          <w:b/>
          <w:sz w:val="20"/>
          <w:szCs w:val="20"/>
        </w:rPr>
        <w:t xml:space="preserve">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the delay requirement</w:t>
      </w:r>
      <w:r w:rsidR="002E1F64">
        <w:rPr>
          <w:rFonts w:ascii="Times New Roman" w:hAnsi="Times New Roman" w:cs="Times New Roman"/>
          <w:b/>
          <w:sz w:val="20"/>
          <w:szCs w:val="20"/>
        </w:rPr>
        <w:t xml:space="preserve"> for measurement without gap</w:t>
      </w:r>
      <w:r w:rsidRPr="004D1D42">
        <w:rPr>
          <w:rFonts w:ascii="Times New Roman" w:hAnsi="Times New Roman" w:cs="Times New Roman"/>
          <w:b/>
          <w:sz w:val="20"/>
          <w:szCs w:val="20"/>
        </w:rPr>
        <w:t xml:space="preserve"> should </w:t>
      </w:r>
      <w:r>
        <w:rPr>
          <w:rFonts w:ascii="Times New Roman" w:hAnsi="Times New Roman" w:cs="Times New Roman"/>
          <w:b/>
          <w:sz w:val="20"/>
          <w:szCs w:val="20"/>
        </w:rPr>
        <w:t>be e</w:t>
      </w:r>
      <w:r w:rsidR="002E1F64">
        <w:rPr>
          <w:rFonts w:ascii="Times New Roman" w:hAnsi="Times New Roman" w:cs="Times New Roman"/>
          <w:b/>
          <w:sz w:val="20"/>
          <w:szCs w:val="20"/>
        </w:rPr>
        <w:t>xtended by a scaling factor</w:t>
      </w:r>
      <w:r w:rsidRPr="004D1D42">
        <w:rPr>
          <w:rFonts w:ascii="Times New Roman" w:hAnsi="Times New Roman" w:cs="Times New Roman"/>
          <w:b/>
          <w:sz w:val="20"/>
          <w:szCs w:val="20"/>
        </w:rPr>
        <w:t>.</w:t>
      </w:r>
    </w:p>
    <w:p w:rsidR="004D1D42" w:rsidRPr="004D1D42" w:rsidRDefault="000C0D75" w:rsidP="009F6673">
      <w:pPr>
        <w:spacing w:before="240" w:after="240"/>
        <w:rPr>
          <w:rFonts w:ascii="Times New Roman" w:hAnsi="Times New Roman" w:cs="Times New Roman"/>
          <w:b/>
          <w:sz w:val="20"/>
          <w:szCs w:val="20"/>
        </w:rPr>
      </w:pPr>
      <w:r>
        <w:rPr>
          <w:rFonts w:ascii="Times New Roman" w:hAnsi="Times New Roman" w:cs="Times New Roman"/>
          <w:b/>
          <w:sz w:val="20"/>
          <w:szCs w:val="20"/>
          <w:u w:val="single"/>
        </w:rPr>
        <w:t>Gap-based m</w:t>
      </w:r>
      <w:r w:rsidR="00442121">
        <w:rPr>
          <w:rFonts w:ascii="Times New Roman" w:hAnsi="Times New Roman" w:cs="Times New Roman"/>
          <w:b/>
          <w:sz w:val="20"/>
          <w:szCs w:val="20"/>
          <w:u w:val="single"/>
        </w:rPr>
        <w:t xml:space="preserve">easurement </w:t>
      </w:r>
      <w:r>
        <w:rPr>
          <w:rFonts w:ascii="Times New Roman" w:hAnsi="Times New Roman" w:cs="Times New Roman"/>
          <w:b/>
          <w:sz w:val="20"/>
          <w:szCs w:val="20"/>
          <w:u w:val="single"/>
        </w:rPr>
        <w:t>with multiple SMTCs</w:t>
      </w:r>
    </w:p>
    <w:p w:rsidR="00BC7374" w:rsidRDefault="00112DC6" w:rsidP="009E1AB0">
      <w:pPr>
        <w:rPr>
          <w:rFonts w:ascii="Times New Roman" w:hAnsi="Times New Roman" w:cs="Times New Roman"/>
          <w:sz w:val="20"/>
          <w:szCs w:val="20"/>
        </w:rPr>
      </w:pPr>
      <w:r>
        <w:rPr>
          <w:rFonts w:ascii="Times New Roman" w:hAnsi="Times New Roman" w:cs="Times New Roman"/>
          <w:sz w:val="20"/>
          <w:szCs w:val="20"/>
        </w:rPr>
        <w:t>When UE performs the measurement</w:t>
      </w:r>
      <w:r w:rsidR="000F3390">
        <w:rPr>
          <w:rFonts w:ascii="Times New Roman" w:hAnsi="Times New Roman" w:cs="Times New Roman"/>
          <w:sz w:val="20"/>
          <w:szCs w:val="20"/>
        </w:rPr>
        <w:t>s</w:t>
      </w:r>
      <w:r>
        <w:rPr>
          <w:rFonts w:ascii="Times New Roman" w:hAnsi="Times New Roman" w:cs="Times New Roman"/>
          <w:sz w:val="20"/>
          <w:szCs w:val="20"/>
        </w:rPr>
        <w:t xml:space="preserve"> </w:t>
      </w:r>
      <w:r w:rsidR="000F3390">
        <w:rPr>
          <w:rFonts w:ascii="Times New Roman" w:hAnsi="Times New Roman" w:cs="Times New Roman"/>
          <w:sz w:val="20"/>
          <w:szCs w:val="20"/>
        </w:rPr>
        <w:t xml:space="preserve">with gap </w:t>
      </w:r>
      <w:r>
        <w:rPr>
          <w:rFonts w:ascii="Times New Roman" w:hAnsi="Times New Roman" w:cs="Times New Roman"/>
          <w:sz w:val="20"/>
          <w:szCs w:val="20"/>
        </w:rPr>
        <w:t xml:space="preserve">on </w:t>
      </w:r>
      <w:r w:rsidR="000F3390">
        <w:rPr>
          <w:rFonts w:ascii="Times New Roman" w:hAnsi="Times New Roman" w:cs="Times New Roman"/>
          <w:sz w:val="20"/>
          <w:szCs w:val="20"/>
        </w:rPr>
        <w:t>the two</w:t>
      </w:r>
      <w:r>
        <w:rPr>
          <w:rFonts w:ascii="Times New Roman" w:hAnsi="Times New Roman" w:cs="Times New Roman"/>
          <w:sz w:val="20"/>
          <w:szCs w:val="20"/>
        </w:rPr>
        <w:t xml:space="preserve"> configured SMTCs</w:t>
      </w:r>
      <w:r w:rsidR="000F3390">
        <w:rPr>
          <w:rFonts w:ascii="Times New Roman" w:hAnsi="Times New Roman" w:cs="Times New Roman"/>
          <w:sz w:val="20"/>
          <w:szCs w:val="20"/>
        </w:rPr>
        <w:t xml:space="preserve"> with different offset due to service link propagation delay difference, single gap pattern is </w:t>
      </w:r>
      <w:r w:rsidR="000C0D75">
        <w:rPr>
          <w:rFonts w:ascii="Times New Roman" w:hAnsi="Times New Roman" w:cs="Times New Roman"/>
          <w:sz w:val="20"/>
          <w:szCs w:val="20"/>
        </w:rPr>
        <w:t xml:space="preserve">not able to cover the 2 SMTCs with different offset, and </w:t>
      </w:r>
      <w:r w:rsidR="000F3390">
        <w:rPr>
          <w:rFonts w:ascii="Times New Roman" w:hAnsi="Times New Roman" w:cs="Times New Roman"/>
          <w:sz w:val="20"/>
          <w:szCs w:val="20"/>
        </w:rPr>
        <w:t>UE is expected to be configured with 2 gap patterns for the measurements, as shown in figure 2.</w:t>
      </w:r>
      <w:r w:rsidR="00F764D6">
        <w:rPr>
          <w:rFonts w:ascii="Times New Roman" w:hAnsi="Times New Roman" w:cs="Times New Roman"/>
          <w:sz w:val="20"/>
          <w:szCs w:val="20"/>
        </w:rPr>
        <w:t xml:space="preserve"> </w:t>
      </w:r>
      <w:r w:rsidR="002E1F64">
        <w:rPr>
          <w:rFonts w:ascii="Times New Roman" w:hAnsi="Times New Roman" w:cs="Times New Roman"/>
          <w:sz w:val="20"/>
          <w:szCs w:val="20"/>
        </w:rPr>
        <w:t>Similar to the proximity condition for concurrent gaps, the minimum distance for two gap occasions should be defined. If the 2 gap occasions are partially overlapping in time domain or the minimum distance is less than 5ms, the 2 gap occasions can be considered as colliding. If the time gap between 2 gap occasions is smaller than the minimum distance, the delay requirement for the measurement with gap should be extended by a scaling factor.</w:t>
      </w:r>
    </w:p>
    <w:p w:rsidR="006051A2" w:rsidRDefault="00BC7374" w:rsidP="006051A2">
      <w:pPr>
        <w:keepNext/>
        <w:jc w:val="center"/>
      </w:pPr>
      <w:r>
        <w:object w:dxaOrig="7561" w:dyaOrig="1941">
          <v:shape id="_x0000_i1026" type="#_x0000_t75" style="width:378.1pt;height:97.05pt" o:ole="">
            <v:imagedata r:id="rId9" o:title=""/>
          </v:shape>
          <o:OLEObject Type="Embed" ProgID="Visio.Drawing.15" ShapeID="_x0000_i1026" DrawAspect="Content" ObjectID="_1703350561" r:id="rId10"/>
        </w:object>
      </w:r>
    </w:p>
    <w:p w:rsidR="00BC7374" w:rsidRDefault="006051A2" w:rsidP="006051A2">
      <w:pPr>
        <w:pStyle w:val="a7"/>
        <w:jc w:val="center"/>
      </w:pPr>
      <w:r>
        <w:t xml:space="preserve">Figure </w:t>
      </w:r>
      <w:fldSimple w:instr=" SEQ Figure \* ARABIC ">
        <w:r>
          <w:rPr>
            <w:noProof/>
          </w:rPr>
          <w:t>2</w:t>
        </w:r>
      </w:fldSimple>
      <w:r>
        <w:t>: Gap-based measurement with multiple SMTCs</w:t>
      </w:r>
    </w:p>
    <w:p w:rsidR="009E1AB0" w:rsidRDefault="004B2E78" w:rsidP="00353D68">
      <w:pPr>
        <w:spacing w:after="240"/>
        <w:rPr>
          <w:rFonts w:ascii="Times New Roman" w:hAnsi="Times New Roman" w:cs="Times New Roman"/>
          <w:b/>
          <w:sz w:val="20"/>
          <w:szCs w:val="20"/>
        </w:rPr>
      </w:pPr>
      <w:r w:rsidRPr="004B2E78">
        <w:rPr>
          <w:rFonts w:ascii="Times New Roman" w:hAnsi="Times New Roman" w:cs="Times New Roman"/>
          <w:b/>
          <w:sz w:val="20"/>
          <w:szCs w:val="20"/>
        </w:rPr>
        <w:t xml:space="preserve">Proposal </w:t>
      </w:r>
      <w:r w:rsidR="006051A2">
        <w:rPr>
          <w:rFonts w:ascii="Times New Roman" w:hAnsi="Times New Roman" w:cs="Times New Roman"/>
          <w:b/>
          <w:sz w:val="20"/>
          <w:szCs w:val="20"/>
        </w:rPr>
        <w:t>5</w:t>
      </w:r>
      <w:r w:rsidRPr="004B2E78">
        <w:rPr>
          <w:rFonts w:ascii="Times New Roman" w:hAnsi="Times New Roman" w:cs="Times New Roman"/>
          <w:b/>
          <w:sz w:val="20"/>
          <w:szCs w:val="20"/>
        </w:rPr>
        <w:t xml:space="preserve">: </w:t>
      </w:r>
      <w:r w:rsidR="002E1F64">
        <w:rPr>
          <w:rFonts w:ascii="Times New Roman" w:hAnsi="Times New Roman" w:cs="Times New Roman"/>
          <w:b/>
          <w:sz w:val="20"/>
          <w:szCs w:val="20"/>
        </w:rPr>
        <w:t xml:space="preserve">For gap-based measurement, </w:t>
      </w:r>
      <w:r w:rsidR="002E1F64" w:rsidRPr="002E1F64">
        <w:rPr>
          <w:rFonts w:ascii="Times New Roman" w:hAnsi="Times New Roman" w:cs="Times New Roman"/>
          <w:b/>
          <w:sz w:val="20"/>
          <w:szCs w:val="20"/>
        </w:rPr>
        <w:t xml:space="preserve">UE is expected to be configured with </w:t>
      </w:r>
      <w:r w:rsidR="006051A2">
        <w:rPr>
          <w:rFonts w:ascii="Times New Roman" w:hAnsi="Times New Roman" w:cs="Times New Roman"/>
          <w:b/>
          <w:sz w:val="20"/>
          <w:szCs w:val="20"/>
        </w:rPr>
        <w:t>multiple</w:t>
      </w:r>
      <w:r w:rsidR="002E1F64" w:rsidRPr="002E1F64">
        <w:rPr>
          <w:rFonts w:ascii="Times New Roman" w:hAnsi="Times New Roman" w:cs="Times New Roman"/>
          <w:b/>
          <w:sz w:val="20"/>
          <w:szCs w:val="20"/>
        </w:rPr>
        <w:t xml:space="preserve"> gap patterns for the measurements</w:t>
      </w:r>
      <w:r w:rsidR="006051A2">
        <w:rPr>
          <w:rFonts w:ascii="Times New Roman" w:hAnsi="Times New Roman" w:cs="Times New Roman"/>
          <w:b/>
          <w:sz w:val="20"/>
          <w:szCs w:val="20"/>
        </w:rPr>
        <w:t xml:space="preserve"> on multiple SMTCs in parallel</w:t>
      </w:r>
      <w:r w:rsidRPr="004B2E78">
        <w:rPr>
          <w:rFonts w:ascii="Times New Roman" w:hAnsi="Times New Roman" w:cs="Times New Roman"/>
          <w:b/>
          <w:sz w:val="20"/>
          <w:szCs w:val="20"/>
        </w:rPr>
        <w:t>.</w:t>
      </w:r>
    </w:p>
    <w:p w:rsidR="006051A2" w:rsidRDefault="006051A2" w:rsidP="006051A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6</w:t>
      </w:r>
      <w:r w:rsidRPr="001F0ACE">
        <w:rPr>
          <w:rFonts w:ascii="Times New Roman" w:hAnsi="Times New Roman" w:cs="Times New Roman"/>
          <w:b/>
          <w:sz w:val="20"/>
          <w:szCs w:val="20"/>
        </w:rPr>
        <w:t xml:space="preserv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w:t>
      </w:r>
      <w:r w:rsidRPr="004D1D42">
        <w:rPr>
          <w:rFonts w:ascii="Times New Roman" w:hAnsi="Times New Roman" w:cs="Times New Roman"/>
          <w:b/>
          <w:sz w:val="20"/>
          <w:szCs w:val="20"/>
        </w:rPr>
        <w:t xml:space="preserve"> occasions</w:t>
      </w:r>
      <w:r>
        <w:rPr>
          <w:rFonts w:ascii="Times New Roman" w:hAnsi="Times New Roman" w:cs="Times New Roman"/>
          <w:b/>
          <w:sz w:val="20"/>
          <w:szCs w:val="20"/>
        </w:rPr>
        <w:t xml:space="preserve"> are</w:t>
      </w:r>
      <w:r w:rsidRPr="004D1D42">
        <w:rPr>
          <w:rFonts w:ascii="Times New Roman" w:hAnsi="Times New Roman" w:cs="Times New Roman"/>
          <w:b/>
          <w:sz w:val="20"/>
          <w:szCs w:val="20"/>
        </w:rPr>
        <w:t xml:space="preserve"> </w:t>
      </w:r>
      <w:r>
        <w:rPr>
          <w:rFonts w:ascii="Times New Roman" w:hAnsi="Times New Roman" w:cs="Times New Roman"/>
          <w:b/>
          <w:sz w:val="20"/>
          <w:szCs w:val="20"/>
        </w:rPr>
        <w:t>defined</w:t>
      </w:r>
      <w:r w:rsidRPr="004D1D42">
        <w:rPr>
          <w:rFonts w:ascii="Times New Roman" w:hAnsi="Times New Roman" w:cs="Times New Roman"/>
          <w:b/>
          <w:sz w:val="20"/>
          <w:szCs w:val="20"/>
        </w:rPr>
        <w:t xml:space="preserve"> as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if the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 occasions</w:t>
      </w:r>
      <w:r w:rsidRPr="004D1D42">
        <w:rPr>
          <w:rFonts w:ascii="Times New Roman" w:hAnsi="Times New Roman" w:cs="Times New Roman"/>
          <w:b/>
          <w:sz w:val="20"/>
          <w:szCs w:val="20"/>
        </w:rPr>
        <w:t xml:space="preserve"> are partially overlapping in time domain or the minimum distance is </w:t>
      </w:r>
      <w:r>
        <w:rPr>
          <w:rFonts w:ascii="Times New Roman" w:hAnsi="Times New Roman" w:cs="Times New Roman"/>
          <w:b/>
          <w:sz w:val="20"/>
          <w:szCs w:val="20"/>
        </w:rPr>
        <w:t>less</w:t>
      </w:r>
      <w:r w:rsidRPr="004D1D42">
        <w:rPr>
          <w:rFonts w:ascii="Times New Roman" w:hAnsi="Times New Roman" w:cs="Times New Roman"/>
          <w:b/>
          <w:sz w:val="20"/>
          <w:szCs w:val="20"/>
        </w:rPr>
        <w:t xml:space="preserve"> than 5ms.</w:t>
      </w:r>
    </w:p>
    <w:p w:rsidR="006051A2" w:rsidRPr="006051A2" w:rsidRDefault="006051A2" w:rsidP="006051A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7</w:t>
      </w:r>
      <w:r w:rsidRPr="001F0ACE">
        <w:rPr>
          <w:rFonts w:ascii="Times New Roman" w:hAnsi="Times New Roman" w:cs="Times New Roman"/>
          <w:b/>
          <w:sz w:val="20"/>
          <w:szCs w:val="20"/>
        </w:rPr>
        <w:t xml:space="preserve">: </w:t>
      </w:r>
      <w:r>
        <w:rPr>
          <w:rFonts w:ascii="Times New Roman" w:hAnsi="Times New Roman" w:cs="Times New Roman"/>
          <w:b/>
          <w:sz w:val="20"/>
          <w:szCs w:val="20"/>
        </w:rPr>
        <w:t>For gap-based measurement, if gap occasions are</w:t>
      </w:r>
      <w:r w:rsidRPr="004D1D42">
        <w:rPr>
          <w:rFonts w:ascii="Times New Roman" w:hAnsi="Times New Roman" w:cs="Times New Roman"/>
          <w:b/>
          <w:sz w:val="20"/>
          <w:szCs w:val="20"/>
        </w:rPr>
        <w:t xml:space="preserve">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the delay requirement</w:t>
      </w:r>
      <w:r>
        <w:rPr>
          <w:rFonts w:ascii="Times New Roman" w:hAnsi="Times New Roman" w:cs="Times New Roman"/>
          <w:b/>
          <w:sz w:val="20"/>
          <w:szCs w:val="20"/>
        </w:rPr>
        <w:t xml:space="preserve"> for measurement with gap</w:t>
      </w:r>
      <w:r w:rsidRPr="004D1D42">
        <w:rPr>
          <w:rFonts w:ascii="Times New Roman" w:hAnsi="Times New Roman" w:cs="Times New Roman"/>
          <w:b/>
          <w:sz w:val="20"/>
          <w:szCs w:val="20"/>
        </w:rPr>
        <w:t xml:space="preserve"> should </w:t>
      </w:r>
      <w:r>
        <w:rPr>
          <w:rFonts w:ascii="Times New Roman" w:hAnsi="Times New Roman" w:cs="Times New Roman"/>
          <w:b/>
          <w:sz w:val="20"/>
          <w:szCs w:val="20"/>
        </w:rPr>
        <w:t>be extended by a scaling factor</w:t>
      </w:r>
      <w:r w:rsidRPr="004D1D42">
        <w:rPr>
          <w:rFonts w:ascii="Times New Roman" w:hAnsi="Times New Roman" w:cs="Times New Roman"/>
          <w:b/>
          <w:sz w:val="20"/>
          <w:szCs w:val="20"/>
        </w:rPr>
        <w:t>.</w:t>
      </w:r>
    </w:p>
    <w:p w:rsidR="00C24306" w:rsidRPr="00C24306" w:rsidRDefault="00C24306" w:rsidP="00C24306">
      <w:pPr>
        <w:spacing w:before="240" w:after="240"/>
        <w:rPr>
          <w:rFonts w:ascii="Times New Roman" w:hAnsi="Times New Roman" w:cs="Times New Roman"/>
          <w:b/>
          <w:sz w:val="20"/>
          <w:szCs w:val="20"/>
          <w:u w:val="single"/>
        </w:rPr>
      </w:pPr>
      <w:r>
        <w:rPr>
          <w:rFonts w:ascii="Times New Roman" w:hAnsi="Times New Roman" w:cs="Times New Roman"/>
          <w:b/>
          <w:sz w:val="20"/>
          <w:szCs w:val="20"/>
          <w:u w:val="single"/>
        </w:rPr>
        <w:t xml:space="preserve">RRM impact on </w:t>
      </w:r>
      <w:r w:rsidRPr="00C24306">
        <w:rPr>
          <w:rFonts w:ascii="Times New Roman" w:hAnsi="Times New Roman" w:cs="Times New Roman"/>
          <w:b/>
          <w:sz w:val="20"/>
          <w:szCs w:val="20"/>
          <w:u w:val="single"/>
        </w:rPr>
        <w:t>UE assistance information</w:t>
      </w:r>
    </w:p>
    <w:p w:rsidR="00FE54F6" w:rsidRPr="00FE54F6" w:rsidRDefault="00353D68" w:rsidP="00D91383">
      <w:pPr>
        <w:rPr>
          <w:rFonts w:ascii="Times New Roman" w:hAnsi="Times New Roman" w:cs="Times New Roman"/>
          <w:sz w:val="20"/>
          <w:szCs w:val="20"/>
        </w:rPr>
      </w:pPr>
      <w:r w:rsidRPr="00353D68">
        <w:rPr>
          <w:rFonts w:ascii="Times New Roman" w:hAnsi="Times New Roman" w:cs="Times New Roman"/>
          <w:sz w:val="20"/>
          <w:szCs w:val="20"/>
        </w:rPr>
        <w:t xml:space="preserve">In addition, </w:t>
      </w:r>
      <w:r>
        <w:rPr>
          <w:rFonts w:ascii="Times New Roman" w:hAnsi="Times New Roman" w:cs="Times New Roman"/>
          <w:sz w:val="20"/>
          <w:szCs w:val="20"/>
        </w:rPr>
        <w:t>RAN2 also agreed to introduce UE assistance in</w:t>
      </w:r>
      <w:r w:rsidR="006A6289">
        <w:rPr>
          <w:rFonts w:ascii="Times New Roman" w:hAnsi="Times New Roman" w:cs="Times New Roman"/>
          <w:sz w:val="20"/>
          <w:szCs w:val="20"/>
        </w:rPr>
        <w:t xml:space="preserve">formation which is used to (re)configure the SMTC configuration and measurement gap configuration for NW. </w:t>
      </w:r>
    </w:p>
    <w:tbl>
      <w:tblPr>
        <w:tblW w:w="8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FE54F6" w:rsidTr="00FE54F6">
        <w:trPr>
          <w:trHeight w:val="640"/>
        </w:trPr>
        <w:tc>
          <w:tcPr>
            <w:tcW w:w="8400" w:type="dxa"/>
          </w:tcPr>
          <w:p w:rsidR="00FE54F6" w:rsidRPr="00D32851" w:rsidRDefault="00FE54F6" w:rsidP="00FE54F6">
            <w:pPr>
              <w:rPr>
                <w:rFonts w:ascii="Times New Roman" w:hAnsi="Times New Roman" w:cs="Times New Roman"/>
                <w:lang w:val="en-GB"/>
              </w:rPr>
            </w:pPr>
            <w:r w:rsidRPr="00D32851">
              <w:rPr>
                <w:rFonts w:ascii="Times New Roman" w:hAnsi="Times New Roman" w:cs="Times New Roman"/>
                <w:highlight w:val="green"/>
                <w:lang w:val="en-GB"/>
              </w:rPr>
              <w:t>Agreements in RAN2#</w:t>
            </w:r>
            <w:r>
              <w:rPr>
                <w:rFonts w:ascii="Times New Roman" w:hAnsi="Times New Roman" w:cs="Times New Roman"/>
                <w:highlight w:val="green"/>
                <w:lang w:val="en-GB"/>
              </w:rPr>
              <w:t>115</w:t>
            </w:r>
            <w:r w:rsidRPr="00D32851">
              <w:rPr>
                <w:rFonts w:ascii="Times New Roman" w:hAnsi="Times New Roman" w:cs="Times New Roman"/>
                <w:highlight w:val="green"/>
                <w:lang w:val="en-GB"/>
              </w:rPr>
              <w:t>e</w:t>
            </w:r>
            <w:r>
              <w:rPr>
                <w:rFonts w:ascii="Times New Roman" w:hAnsi="Times New Roman" w:cs="Times New Roman"/>
                <w:highlight w:val="green"/>
                <w:lang w:val="en-GB"/>
              </w:rPr>
              <w:t xml:space="preserve"> [</w:t>
            </w:r>
            <w:r w:rsidR="00190C57">
              <w:rPr>
                <w:rFonts w:ascii="Times New Roman" w:hAnsi="Times New Roman" w:cs="Times New Roman"/>
                <w:highlight w:val="green"/>
                <w:lang w:val="en-GB"/>
              </w:rPr>
              <w:t>2</w:t>
            </w:r>
            <w:r>
              <w:rPr>
                <w:rFonts w:ascii="Times New Roman" w:hAnsi="Times New Roman" w:cs="Times New Roman"/>
                <w:highlight w:val="green"/>
                <w:lang w:val="en-GB"/>
              </w:rPr>
              <w:t>]</w:t>
            </w:r>
            <w:r w:rsidRPr="00D32851">
              <w:rPr>
                <w:rFonts w:ascii="Times New Roman" w:hAnsi="Times New Roman" w:cs="Times New Roman"/>
                <w:highlight w:val="green"/>
                <w:lang w:val="en-GB"/>
              </w:rPr>
              <w:t>:</w:t>
            </w:r>
          </w:p>
          <w:p w:rsidR="00FE54F6" w:rsidRPr="00FE54F6" w:rsidRDefault="00FE54F6" w:rsidP="00FE54F6">
            <w:pPr>
              <w:pStyle w:val="a9"/>
              <w:numPr>
                <w:ilvl w:val="0"/>
                <w:numId w:val="44"/>
              </w:numPr>
              <w:ind w:firstLineChars="0"/>
              <w:rPr>
                <w:rFonts w:ascii="Times New Roman" w:hAnsi="Times New Roman" w:cs="Times New Roman"/>
                <w:sz w:val="20"/>
                <w:lang w:val="en-GB"/>
              </w:rPr>
            </w:pPr>
            <w:r w:rsidRPr="00FE54F6">
              <w:rPr>
                <w:rFonts w:ascii="Times New Roman" w:hAnsi="Times New Roman" w:cs="Times New Roman"/>
                <w:sz w:val="20"/>
                <w:lang w:val="en-GB"/>
              </w:rP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rsidR="00FE54F6" w:rsidRPr="00FE54F6" w:rsidRDefault="00FE54F6" w:rsidP="00FE54F6">
            <w:pPr>
              <w:pStyle w:val="a9"/>
              <w:numPr>
                <w:ilvl w:val="0"/>
                <w:numId w:val="44"/>
              </w:numPr>
              <w:ind w:firstLineChars="0"/>
              <w:rPr>
                <w:rFonts w:ascii="Times New Roman" w:hAnsi="Times New Roman" w:cs="Times New Roman"/>
                <w:sz w:val="20"/>
                <w:lang w:val="en-GB"/>
              </w:rPr>
            </w:pPr>
            <w:r w:rsidRPr="00FE54F6">
              <w:rPr>
                <w:rFonts w:ascii="Times New Roman" w:hAnsi="Times New Roman" w:cs="Times New Roman"/>
                <w:sz w:val="20"/>
                <w:lang w:val="en-GB"/>
              </w:rPr>
              <w:t>In NTN, it is necessary of the UE to report assistant information to the NW (which can be configured by NW or upon NW’s request) to assist NW calculating the offset for SMTC/GAP configurations. FFS the detailed information.</w:t>
            </w:r>
          </w:p>
          <w:p w:rsidR="00FE54F6" w:rsidRDefault="00FE54F6" w:rsidP="00FE54F6">
            <w:pPr>
              <w:rPr>
                <w:rFonts w:ascii="Times New Roman" w:hAnsi="Times New Roman" w:cs="Times New Roman"/>
                <w:lang w:val="en-GB"/>
              </w:rPr>
            </w:pPr>
            <w:r w:rsidRPr="00D32851">
              <w:rPr>
                <w:rFonts w:ascii="Times New Roman" w:hAnsi="Times New Roman" w:cs="Times New Roman"/>
                <w:highlight w:val="green"/>
                <w:lang w:val="en-GB"/>
              </w:rPr>
              <w:t>Agreements in RAN2#</w:t>
            </w:r>
            <w:r>
              <w:rPr>
                <w:rFonts w:ascii="Times New Roman" w:hAnsi="Times New Roman" w:cs="Times New Roman"/>
                <w:highlight w:val="green"/>
                <w:lang w:val="en-GB"/>
              </w:rPr>
              <w:t>116</w:t>
            </w:r>
            <w:r w:rsidRPr="00D32851">
              <w:rPr>
                <w:rFonts w:ascii="Times New Roman" w:hAnsi="Times New Roman" w:cs="Times New Roman"/>
                <w:highlight w:val="green"/>
                <w:lang w:val="en-GB"/>
              </w:rPr>
              <w:t>e</w:t>
            </w:r>
            <w:r>
              <w:rPr>
                <w:rFonts w:ascii="Times New Roman" w:hAnsi="Times New Roman" w:cs="Times New Roman"/>
                <w:highlight w:val="green"/>
                <w:lang w:val="en-GB"/>
              </w:rPr>
              <w:t xml:space="preserve"> [</w:t>
            </w:r>
            <w:r w:rsidR="00190C57">
              <w:rPr>
                <w:rFonts w:ascii="Times New Roman" w:hAnsi="Times New Roman" w:cs="Times New Roman"/>
                <w:highlight w:val="green"/>
                <w:lang w:val="en-GB"/>
              </w:rPr>
              <w:t>3</w:t>
            </w:r>
            <w:r>
              <w:rPr>
                <w:rFonts w:ascii="Times New Roman" w:hAnsi="Times New Roman" w:cs="Times New Roman"/>
                <w:highlight w:val="green"/>
                <w:lang w:val="en-GB"/>
              </w:rPr>
              <w:t>]</w:t>
            </w:r>
            <w:r w:rsidRPr="00D32851">
              <w:rPr>
                <w:rFonts w:ascii="Times New Roman" w:hAnsi="Times New Roman" w:cs="Times New Roman"/>
                <w:highlight w:val="green"/>
                <w:lang w:val="en-GB"/>
              </w:rPr>
              <w:t>:</w:t>
            </w:r>
          </w:p>
          <w:p w:rsidR="00FE54F6" w:rsidRPr="00FE54F6" w:rsidRDefault="00FE54F6" w:rsidP="00FE54F6">
            <w:pPr>
              <w:pStyle w:val="a9"/>
              <w:numPr>
                <w:ilvl w:val="0"/>
                <w:numId w:val="49"/>
              </w:numPr>
              <w:ind w:firstLineChars="0"/>
              <w:rPr>
                <w:rFonts w:ascii="Times New Roman" w:hAnsi="Times New Roman" w:cs="Times New Roman"/>
                <w:sz w:val="20"/>
                <w:lang w:val="en-GB"/>
              </w:rPr>
            </w:pPr>
            <w:r w:rsidRPr="00FE54F6">
              <w:rPr>
                <w:rFonts w:ascii="Times New Roman" w:hAnsi="Times New Roman" w:cs="Times New Roman"/>
                <w:sz w:val="20"/>
                <w:lang w:val="en-GB"/>
              </w:rPr>
              <w:t xml:space="preserve">RAN2 will decide which option to choose for NTN assistance information for SMTC/MG once SA3 feedback on user consent is received. </w:t>
            </w:r>
          </w:p>
          <w:p w:rsidR="00FE54F6" w:rsidRPr="00FE54F6" w:rsidRDefault="00FE54F6" w:rsidP="00FE54F6">
            <w:pPr>
              <w:pStyle w:val="a9"/>
              <w:numPr>
                <w:ilvl w:val="0"/>
                <w:numId w:val="49"/>
              </w:numPr>
              <w:ind w:firstLineChars="0"/>
              <w:rPr>
                <w:rFonts w:ascii="Times New Roman" w:hAnsi="Times New Roman" w:cs="Times New Roman"/>
                <w:sz w:val="20"/>
                <w:lang w:val="en-GB"/>
              </w:rPr>
            </w:pPr>
            <w:r w:rsidRPr="00FE54F6">
              <w:rPr>
                <w:rFonts w:ascii="Times New Roman" w:hAnsi="Times New Roman" w:cs="Times New Roman"/>
                <w:sz w:val="20"/>
                <w:lang w:val="en-GB"/>
              </w:rPr>
              <w:t xml:space="preserve">If propagation delay based UE assistance information for NTN SMTC is agreed, it is defined in the form of propagation delay difference. </w:t>
            </w:r>
          </w:p>
          <w:p w:rsidR="00FE54F6" w:rsidRPr="00FE54F6" w:rsidRDefault="00FE54F6" w:rsidP="00FE54F6">
            <w:pPr>
              <w:pStyle w:val="a9"/>
              <w:numPr>
                <w:ilvl w:val="0"/>
                <w:numId w:val="49"/>
              </w:numPr>
              <w:ind w:firstLineChars="0"/>
              <w:rPr>
                <w:rFonts w:ascii="Times New Roman" w:hAnsi="Times New Roman" w:cs="Times New Roman"/>
                <w:lang w:val="en-GB"/>
              </w:rPr>
            </w:pPr>
            <w:r w:rsidRPr="00FE54F6">
              <w:rPr>
                <w:rFonts w:ascii="Times New Roman" w:hAnsi="Times New Roman" w:cs="Times New Roman"/>
                <w:sz w:val="20"/>
                <w:lang w:val="en-GB"/>
              </w:rPr>
              <w:t>RAN2 assumes FL delay is known to and compensated by the network. RAN2 also assumes the UE needs to have neighbour cell ephemeris for the propagation delay estimation.</w:t>
            </w:r>
          </w:p>
        </w:tc>
      </w:tr>
    </w:tbl>
    <w:p w:rsidR="00353D68" w:rsidRDefault="006A6289" w:rsidP="00D91383">
      <w:pPr>
        <w:rPr>
          <w:rFonts w:ascii="Times New Roman" w:hAnsi="Times New Roman" w:cs="Times New Roman"/>
          <w:sz w:val="20"/>
          <w:szCs w:val="20"/>
        </w:rPr>
      </w:pPr>
      <w:r>
        <w:rPr>
          <w:rFonts w:ascii="Times New Roman" w:hAnsi="Times New Roman" w:cs="Times New Roman"/>
          <w:sz w:val="20"/>
          <w:szCs w:val="20"/>
        </w:rPr>
        <w:t xml:space="preserve">Regarding how to define the UE assistance information, </w:t>
      </w:r>
      <w:r w:rsidR="00AF374A">
        <w:rPr>
          <w:rFonts w:ascii="Times New Roman" w:hAnsi="Times New Roman" w:cs="Times New Roman"/>
          <w:sz w:val="20"/>
          <w:szCs w:val="20"/>
        </w:rPr>
        <w:t xml:space="preserve">the further conclusions from RAN2 are needed, and if the UE assistance information is defined based on </w:t>
      </w:r>
      <w:r>
        <w:rPr>
          <w:rFonts w:ascii="Times New Roman" w:hAnsi="Times New Roman" w:cs="Times New Roman"/>
          <w:sz w:val="20"/>
          <w:szCs w:val="20"/>
        </w:rPr>
        <w:t xml:space="preserve">the service link propagation delay difference between the serving satellite and the neighbour satellite. </w:t>
      </w:r>
      <w:r w:rsidR="00AF374A">
        <w:rPr>
          <w:rFonts w:ascii="Times New Roman" w:hAnsi="Times New Roman" w:cs="Times New Roman"/>
          <w:sz w:val="20"/>
          <w:szCs w:val="20"/>
        </w:rPr>
        <w:t>RAN4 may need to define the</w:t>
      </w:r>
      <w:r w:rsidR="00AB062F">
        <w:rPr>
          <w:rFonts w:ascii="Times New Roman" w:hAnsi="Times New Roman" w:cs="Times New Roman"/>
          <w:sz w:val="20"/>
          <w:szCs w:val="20"/>
        </w:rPr>
        <w:t xml:space="preserve"> </w:t>
      </w:r>
      <w:r w:rsidR="00AF374A">
        <w:rPr>
          <w:rFonts w:ascii="Times New Roman" w:hAnsi="Times New Roman" w:cs="Times New Roman"/>
          <w:sz w:val="20"/>
          <w:szCs w:val="20"/>
        </w:rPr>
        <w:t>accuracy requirement and reporting mapping for</w:t>
      </w:r>
      <w:r w:rsidR="00AB062F">
        <w:rPr>
          <w:rFonts w:ascii="Times New Roman" w:hAnsi="Times New Roman" w:cs="Times New Roman"/>
          <w:sz w:val="20"/>
          <w:szCs w:val="20"/>
        </w:rPr>
        <w:t xml:space="preserve"> the time difference between serving satellite and the neighbour satellite. Thus, the RRM impact on UE assistance information should be considered.</w:t>
      </w:r>
    </w:p>
    <w:p w:rsidR="00AB062F" w:rsidRPr="00AB062F" w:rsidRDefault="00AB062F" w:rsidP="00D91383">
      <w:pPr>
        <w:rPr>
          <w:rFonts w:ascii="Times New Roman" w:hAnsi="Times New Roman" w:cs="Times New Roman"/>
          <w:b/>
          <w:sz w:val="20"/>
          <w:szCs w:val="20"/>
        </w:rPr>
      </w:pPr>
      <w:r w:rsidRPr="00AB062F">
        <w:rPr>
          <w:rFonts w:ascii="Times New Roman" w:hAnsi="Times New Roman" w:cs="Times New Roman"/>
          <w:b/>
          <w:sz w:val="20"/>
          <w:szCs w:val="20"/>
        </w:rPr>
        <w:t xml:space="preserve">Proposal </w:t>
      </w:r>
      <w:r w:rsidR="006051A2">
        <w:rPr>
          <w:rFonts w:ascii="Times New Roman" w:hAnsi="Times New Roman" w:cs="Times New Roman"/>
          <w:b/>
          <w:sz w:val="20"/>
          <w:szCs w:val="20"/>
        </w:rPr>
        <w:t>8</w:t>
      </w:r>
      <w:r w:rsidRPr="00AB062F">
        <w:rPr>
          <w:rFonts w:ascii="Times New Roman" w:hAnsi="Times New Roman" w:cs="Times New Roman"/>
          <w:b/>
          <w:sz w:val="20"/>
          <w:szCs w:val="20"/>
        </w:rPr>
        <w:t xml:space="preserve">: The RRM impact on UE assistance information should be considered, e.g. </w:t>
      </w:r>
      <w:r w:rsidR="00AF374A">
        <w:rPr>
          <w:rFonts w:ascii="Times New Roman" w:hAnsi="Times New Roman" w:cs="Times New Roman"/>
          <w:b/>
          <w:sz w:val="20"/>
          <w:szCs w:val="20"/>
        </w:rPr>
        <w:t xml:space="preserve">the </w:t>
      </w:r>
      <w:r w:rsidR="00AF374A" w:rsidRPr="00AF374A">
        <w:rPr>
          <w:rFonts w:ascii="Times New Roman" w:hAnsi="Times New Roman" w:cs="Times New Roman"/>
          <w:b/>
          <w:sz w:val="20"/>
          <w:szCs w:val="20"/>
        </w:rPr>
        <w:t>accuracy requirement and reporting mapping for the time difference between serving satellite and the neighbour satellite.</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6051A2" w:rsidRPr="001F0ACE" w:rsidRDefault="006051A2" w:rsidP="006051A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sidRPr="001F0ACE">
        <w:rPr>
          <w:rFonts w:ascii="Times New Roman" w:hAnsi="Times New Roman" w:cs="Times New Roman"/>
          <w:b/>
          <w:sz w:val="20"/>
          <w:szCs w:val="20"/>
        </w:rPr>
        <w:t>roposal 1: RAN4 to define measurement and mobility requirements in RRC_Connected mode for TN-NTN case, and the NTN measurement and mobility requirement is applied to TN-NTN case.</w:t>
      </w:r>
    </w:p>
    <w:p w:rsidR="006051A2" w:rsidRPr="00635B81" w:rsidRDefault="006051A2" w:rsidP="006051A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2</w:t>
      </w:r>
      <w:r w:rsidRPr="001F0ACE">
        <w:rPr>
          <w:rFonts w:ascii="Times New Roman" w:hAnsi="Times New Roman" w:cs="Times New Roman"/>
          <w:b/>
          <w:sz w:val="20"/>
          <w:szCs w:val="20"/>
        </w:rPr>
        <w:t xml:space="preserve">: </w:t>
      </w:r>
      <w:r>
        <w:rPr>
          <w:rFonts w:ascii="Times New Roman" w:hAnsi="Times New Roman" w:cs="Times New Roman"/>
          <w:b/>
          <w:sz w:val="20"/>
          <w:szCs w:val="20"/>
        </w:rPr>
        <w:t>UE shall be capable to monitor at least 3 NTN carriers, FFS whether and how to define UE measurement capabilities on number of cell/SSB.</w:t>
      </w:r>
    </w:p>
    <w:p w:rsidR="006051A2" w:rsidRDefault="006051A2" w:rsidP="006051A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3</w:t>
      </w:r>
      <w:r w:rsidRPr="001F0ACE">
        <w:rPr>
          <w:rFonts w:ascii="Times New Roman" w:hAnsi="Times New Roman" w:cs="Times New Roman"/>
          <w:b/>
          <w:sz w:val="20"/>
          <w:szCs w:val="20"/>
        </w:rPr>
        <w:t xml:space="preserve">: </w:t>
      </w:r>
      <w:r>
        <w:rPr>
          <w:rFonts w:ascii="Times New Roman" w:hAnsi="Times New Roman" w:cs="Times New Roman"/>
          <w:b/>
          <w:sz w:val="20"/>
          <w:szCs w:val="20"/>
        </w:rPr>
        <w:t>Two</w:t>
      </w:r>
      <w:r w:rsidRPr="004D1D42">
        <w:rPr>
          <w:rFonts w:ascii="Times New Roman" w:hAnsi="Times New Roman" w:cs="Times New Roman"/>
          <w:b/>
          <w:sz w:val="20"/>
          <w:szCs w:val="20"/>
        </w:rPr>
        <w:t xml:space="preserve"> SMTC occasions </w:t>
      </w:r>
      <w:r>
        <w:rPr>
          <w:rFonts w:ascii="Times New Roman" w:hAnsi="Times New Roman" w:cs="Times New Roman"/>
          <w:b/>
          <w:sz w:val="20"/>
          <w:szCs w:val="20"/>
        </w:rPr>
        <w:t>in parallel are</w:t>
      </w:r>
      <w:r w:rsidRPr="004D1D42">
        <w:rPr>
          <w:rFonts w:ascii="Times New Roman" w:hAnsi="Times New Roman" w:cs="Times New Roman"/>
          <w:b/>
          <w:sz w:val="20"/>
          <w:szCs w:val="20"/>
        </w:rPr>
        <w:t xml:space="preserve"> </w:t>
      </w:r>
      <w:r>
        <w:rPr>
          <w:rFonts w:ascii="Times New Roman" w:hAnsi="Times New Roman" w:cs="Times New Roman"/>
          <w:b/>
          <w:sz w:val="20"/>
          <w:szCs w:val="20"/>
        </w:rPr>
        <w:t>defined</w:t>
      </w:r>
      <w:r w:rsidRPr="004D1D42">
        <w:rPr>
          <w:rFonts w:ascii="Times New Roman" w:hAnsi="Times New Roman" w:cs="Times New Roman"/>
          <w:b/>
          <w:sz w:val="20"/>
          <w:szCs w:val="20"/>
        </w:rPr>
        <w:t xml:space="preserve"> as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if the 2 SMTCs are partially overlapping in time domain or the minimum distance is </w:t>
      </w:r>
      <w:r>
        <w:rPr>
          <w:rFonts w:ascii="Times New Roman" w:hAnsi="Times New Roman" w:cs="Times New Roman"/>
          <w:b/>
          <w:sz w:val="20"/>
          <w:szCs w:val="20"/>
        </w:rPr>
        <w:t>less</w:t>
      </w:r>
      <w:r w:rsidRPr="004D1D42">
        <w:rPr>
          <w:rFonts w:ascii="Times New Roman" w:hAnsi="Times New Roman" w:cs="Times New Roman"/>
          <w:b/>
          <w:sz w:val="20"/>
          <w:szCs w:val="20"/>
        </w:rPr>
        <w:t xml:space="preserve"> than 5ms.</w:t>
      </w:r>
    </w:p>
    <w:p w:rsidR="006051A2" w:rsidRDefault="006051A2" w:rsidP="006051A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4</w:t>
      </w:r>
      <w:r w:rsidRPr="001F0ACE">
        <w:rPr>
          <w:rFonts w:ascii="Times New Roman" w:hAnsi="Times New Roman" w:cs="Times New Roman"/>
          <w:b/>
          <w:sz w:val="20"/>
          <w:szCs w:val="20"/>
        </w:rPr>
        <w:t xml:space="preserve">: </w:t>
      </w:r>
      <w:r>
        <w:rPr>
          <w:rFonts w:ascii="Times New Roman" w:hAnsi="Times New Roman" w:cs="Times New Roman"/>
          <w:b/>
          <w:sz w:val="20"/>
          <w:szCs w:val="20"/>
        </w:rPr>
        <w:t xml:space="preserve">For gapless measurement, if </w:t>
      </w:r>
      <w:r w:rsidRPr="004D1D42">
        <w:rPr>
          <w:rFonts w:ascii="Times New Roman" w:hAnsi="Times New Roman" w:cs="Times New Roman"/>
          <w:b/>
          <w:sz w:val="20"/>
          <w:szCs w:val="20"/>
        </w:rPr>
        <w:t>SMTC</w:t>
      </w:r>
      <w:r>
        <w:rPr>
          <w:rFonts w:ascii="Times New Roman" w:hAnsi="Times New Roman" w:cs="Times New Roman"/>
          <w:b/>
          <w:sz w:val="20"/>
          <w:szCs w:val="20"/>
        </w:rPr>
        <w:t>s</w:t>
      </w:r>
      <w:r w:rsidRPr="004D1D42">
        <w:rPr>
          <w:rFonts w:ascii="Times New Roman" w:hAnsi="Times New Roman" w:cs="Times New Roman"/>
          <w:b/>
          <w:sz w:val="20"/>
          <w:szCs w:val="20"/>
        </w:rPr>
        <w:t xml:space="preserve"> </w:t>
      </w:r>
      <w:r>
        <w:rPr>
          <w:rFonts w:ascii="Times New Roman" w:hAnsi="Times New Roman" w:cs="Times New Roman"/>
          <w:b/>
          <w:sz w:val="20"/>
          <w:szCs w:val="20"/>
        </w:rPr>
        <w:t>in parallel are</w:t>
      </w:r>
      <w:r w:rsidRPr="004D1D42">
        <w:rPr>
          <w:rFonts w:ascii="Times New Roman" w:hAnsi="Times New Roman" w:cs="Times New Roman"/>
          <w:b/>
          <w:sz w:val="20"/>
          <w:szCs w:val="20"/>
        </w:rPr>
        <w:t xml:space="preserve">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the delay requirement</w:t>
      </w:r>
      <w:r>
        <w:rPr>
          <w:rFonts w:ascii="Times New Roman" w:hAnsi="Times New Roman" w:cs="Times New Roman"/>
          <w:b/>
          <w:sz w:val="20"/>
          <w:szCs w:val="20"/>
        </w:rPr>
        <w:t xml:space="preserve"> for measurement without gap</w:t>
      </w:r>
      <w:r w:rsidRPr="004D1D42">
        <w:rPr>
          <w:rFonts w:ascii="Times New Roman" w:hAnsi="Times New Roman" w:cs="Times New Roman"/>
          <w:b/>
          <w:sz w:val="20"/>
          <w:szCs w:val="20"/>
        </w:rPr>
        <w:t xml:space="preserve"> should </w:t>
      </w:r>
      <w:r>
        <w:rPr>
          <w:rFonts w:ascii="Times New Roman" w:hAnsi="Times New Roman" w:cs="Times New Roman"/>
          <w:b/>
          <w:sz w:val="20"/>
          <w:szCs w:val="20"/>
        </w:rPr>
        <w:t>be extended by a scaling factor</w:t>
      </w:r>
      <w:r w:rsidRPr="004D1D42">
        <w:rPr>
          <w:rFonts w:ascii="Times New Roman" w:hAnsi="Times New Roman" w:cs="Times New Roman"/>
          <w:b/>
          <w:sz w:val="20"/>
          <w:szCs w:val="20"/>
        </w:rPr>
        <w:t>.</w:t>
      </w:r>
    </w:p>
    <w:p w:rsidR="006051A2" w:rsidRPr="006051A2" w:rsidRDefault="006051A2" w:rsidP="006051A2">
      <w:pPr>
        <w:spacing w:after="240"/>
        <w:rPr>
          <w:rFonts w:ascii="Times New Roman" w:hAnsi="Times New Roman" w:cs="Times New Roman"/>
          <w:b/>
          <w:sz w:val="20"/>
          <w:szCs w:val="20"/>
        </w:rPr>
      </w:pPr>
      <w:r w:rsidRPr="006051A2">
        <w:rPr>
          <w:rFonts w:ascii="Times New Roman" w:hAnsi="Times New Roman" w:cs="Times New Roman"/>
          <w:b/>
          <w:sz w:val="20"/>
          <w:szCs w:val="20"/>
        </w:rPr>
        <w:t>Proposal 5: For gap-based measurement, UE is expected to be configured with multiple gap patterns for the measurements on multiple SMTCs in parallel.</w:t>
      </w:r>
    </w:p>
    <w:p w:rsidR="006051A2" w:rsidRPr="006051A2" w:rsidRDefault="006051A2" w:rsidP="006051A2">
      <w:pPr>
        <w:spacing w:before="240" w:after="240"/>
        <w:rPr>
          <w:rFonts w:ascii="Times New Roman" w:hAnsi="Times New Roman" w:cs="Times New Roman"/>
          <w:b/>
          <w:sz w:val="20"/>
          <w:szCs w:val="20"/>
        </w:rPr>
      </w:pPr>
      <w:r w:rsidRPr="006051A2">
        <w:rPr>
          <w:rFonts w:ascii="Times New Roman" w:hAnsi="Times New Roman" w:cs="Times New Roman" w:hint="eastAsia"/>
          <w:b/>
          <w:sz w:val="20"/>
          <w:szCs w:val="20"/>
        </w:rPr>
        <w:t>P</w:t>
      </w:r>
      <w:r w:rsidRPr="006051A2">
        <w:rPr>
          <w:rFonts w:ascii="Times New Roman" w:hAnsi="Times New Roman" w:cs="Times New Roman"/>
          <w:b/>
          <w:sz w:val="20"/>
          <w:szCs w:val="20"/>
        </w:rPr>
        <w:t>roposal 6: Two gap occasions are defined as colliding (overlapping) if the two gap occasions are partially overlapping in time domain or the minimum distance is less than 5ms.</w:t>
      </w:r>
    </w:p>
    <w:p w:rsidR="006051A2" w:rsidRDefault="006051A2" w:rsidP="006051A2">
      <w:pPr>
        <w:spacing w:before="240" w:after="240"/>
        <w:rPr>
          <w:rFonts w:ascii="Times New Roman" w:hAnsi="Times New Roman" w:cs="Times New Roman"/>
          <w:b/>
          <w:sz w:val="20"/>
          <w:szCs w:val="20"/>
        </w:rPr>
      </w:pPr>
      <w:r w:rsidRPr="006051A2">
        <w:rPr>
          <w:rFonts w:ascii="Times New Roman" w:hAnsi="Times New Roman" w:cs="Times New Roman" w:hint="eastAsia"/>
          <w:b/>
          <w:sz w:val="20"/>
          <w:szCs w:val="20"/>
        </w:rPr>
        <w:t>P</w:t>
      </w:r>
      <w:r w:rsidRPr="006051A2">
        <w:rPr>
          <w:rFonts w:ascii="Times New Roman" w:hAnsi="Times New Roman" w:cs="Times New Roman"/>
          <w:b/>
          <w:sz w:val="20"/>
          <w:szCs w:val="20"/>
        </w:rPr>
        <w:t>roposal 7: For gap-based measurement, if gap occasions are colliding (overlapping), the delay requirement for measurement with gap should be extended by a scaling factor.</w:t>
      </w:r>
    </w:p>
    <w:p w:rsidR="006051A2" w:rsidRPr="006051A2" w:rsidRDefault="006051A2" w:rsidP="006051A2">
      <w:pPr>
        <w:rPr>
          <w:rFonts w:ascii="Times New Roman" w:hAnsi="Times New Roman" w:cs="Times New Roman"/>
          <w:b/>
          <w:sz w:val="20"/>
          <w:szCs w:val="20"/>
        </w:rPr>
      </w:pPr>
      <w:r w:rsidRPr="00AB062F">
        <w:rPr>
          <w:rFonts w:ascii="Times New Roman" w:hAnsi="Times New Roman" w:cs="Times New Roman"/>
          <w:b/>
          <w:sz w:val="20"/>
          <w:szCs w:val="20"/>
        </w:rPr>
        <w:t xml:space="preserve">Proposal </w:t>
      </w:r>
      <w:r>
        <w:rPr>
          <w:rFonts w:ascii="Times New Roman" w:hAnsi="Times New Roman" w:cs="Times New Roman"/>
          <w:b/>
          <w:sz w:val="20"/>
          <w:szCs w:val="20"/>
        </w:rPr>
        <w:t>8</w:t>
      </w:r>
      <w:r w:rsidRPr="00AB062F">
        <w:rPr>
          <w:rFonts w:ascii="Times New Roman" w:hAnsi="Times New Roman" w:cs="Times New Roman"/>
          <w:b/>
          <w:sz w:val="20"/>
          <w:szCs w:val="20"/>
        </w:rPr>
        <w:t xml:space="preserve">: The RRM impact on UE assistance information should be considered, e.g. </w:t>
      </w:r>
      <w:r>
        <w:rPr>
          <w:rFonts w:ascii="Times New Roman" w:hAnsi="Times New Roman" w:cs="Times New Roman"/>
          <w:b/>
          <w:sz w:val="20"/>
          <w:szCs w:val="20"/>
        </w:rPr>
        <w:t xml:space="preserve">the </w:t>
      </w:r>
      <w:r w:rsidRPr="00AF374A">
        <w:rPr>
          <w:rFonts w:ascii="Times New Roman" w:hAnsi="Times New Roman" w:cs="Times New Roman"/>
          <w:b/>
          <w:sz w:val="20"/>
          <w:szCs w:val="20"/>
        </w:rPr>
        <w:t>accuracy requirement and reporting mapping for the time difference between serving satellite and the neighbour satellite.</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197540" w:rsidRDefault="00601DCA" w:rsidP="009559F6">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21</w:t>
      </w:r>
      <w:r w:rsidR="00190C57">
        <w:rPr>
          <w:rFonts w:ascii="Times New Roman" w:hAnsi="Times New Roman" w:cs="Times New Roman"/>
          <w:bCs/>
          <w:sz w:val="20"/>
          <w:szCs w:val="20"/>
          <w:lang w:val="en-GB"/>
        </w:rPr>
        <w:t>20307</w:t>
      </w:r>
      <w:r w:rsidR="00393BD6" w:rsidRPr="003A1334">
        <w:rPr>
          <w:rFonts w:ascii="Times New Roman" w:hAnsi="Times New Roman" w:cs="Times New Roman" w:hint="eastAsia"/>
          <w:bCs/>
          <w:sz w:val="20"/>
          <w:szCs w:val="20"/>
          <w:lang w:val="en-GB"/>
        </w:rPr>
        <w:tab/>
      </w:r>
      <w:r w:rsidR="00190C57" w:rsidRPr="00190C57">
        <w:rPr>
          <w:rFonts w:ascii="Times New Roman" w:hAnsi="Times New Roman" w:cs="Times New Roman"/>
          <w:bCs/>
          <w:sz w:val="20"/>
          <w:szCs w:val="20"/>
          <w:lang w:val="en-GB"/>
        </w:rPr>
        <w:t>WF on NR NTN RRM requirements</w:t>
      </w:r>
      <w:r w:rsidR="00393BD6" w:rsidRPr="003A1334">
        <w:rPr>
          <w:rFonts w:ascii="Times New Roman" w:hAnsi="Times New Roman" w:cs="Times New Roman" w:hint="eastAsia"/>
          <w:bCs/>
          <w:sz w:val="20"/>
          <w:szCs w:val="20"/>
          <w:lang w:val="en-GB"/>
        </w:rPr>
        <w:t xml:space="preserve">, </w:t>
      </w:r>
      <w:r w:rsidR="006C4A5A">
        <w:rPr>
          <w:rFonts w:ascii="Times New Roman" w:hAnsi="Times New Roman" w:cs="Times New Roman"/>
          <w:bCs/>
          <w:sz w:val="20"/>
          <w:szCs w:val="20"/>
        </w:rPr>
        <w:t>Qualcomm</w:t>
      </w:r>
    </w:p>
    <w:p w:rsidR="00230331" w:rsidRDefault="00747DE3"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sidR="00190C57">
        <w:rPr>
          <w:rFonts w:ascii="Times New Roman" w:hAnsi="Times New Roman" w:cs="Times New Roman"/>
          <w:sz w:val="20"/>
          <w:szCs w:val="20"/>
        </w:rPr>
        <w:t>2</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230331" w:rsidRPr="008E7C29">
        <w:rPr>
          <w:rFonts w:ascii="Times New Roman" w:hAnsi="Times New Roman" w:cs="Times New Roman"/>
          <w:bCs/>
          <w:sz w:val="20"/>
          <w:szCs w:val="20"/>
        </w:rPr>
        <w:t xml:space="preserve">Report </w:t>
      </w:r>
      <w:r w:rsidR="00230331">
        <w:rPr>
          <w:rFonts w:ascii="Times New Roman" w:hAnsi="Times New Roman" w:cs="Times New Roman"/>
          <w:bCs/>
          <w:sz w:val="20"/>
          <w:szCs w:val="20"/>
        </w:rPr>
        <w:t>of 3GPP TSG RAN2#11</w:t>
      </w:r>
      <w:r w:rsidR="006C4A5A">
        <w:rPr>
          <w:rFonts w:ascii="Times New Roman" w:hAnsi="Times New Roman" w:cs="Times New Roman"/>
          <w:bCs/>
          <w:sz w:val="20"/>
          <w:szCs w:val="20"/>
        </w:rPr>
        <w:t>5</w:t>
      </w:r>
      <w:r w:rsidR="00230331">
        <w:rPr>
          <w:rFonts w:ascii="Times New Roman" w:hAnsi="Times New Roman" w:cs="Times New Roman"/>
          <w:bCs/>
          <w:sz w:val="20"/>
          <w:szCs w:val="20"/>
        </w:rPr>
        <w:t>-e meeting</w:t>
      </w:r>
    </w:p>
    <w:p w:rsidR="00190C57" w:rsidRDefault="00190C57" w:rsidP="00190C57">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Pr>
          <w:rFonts w:ascii="Times New Roman" w:hAnsi="Times New Roman" w:cs="Times New Roman"/>
          <w:sz w:val="20"/>
          <w:szCs w:val="20"/>
        </w:rPr>
        <w:t>3</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Pr="008E7C29">
        <w:rPr>
          <w:rFonts w:ascii="Times New Roman" w:hAnsi="Times New Roman" w:cs="Times New Roman"/>
          <w:bCs/>
          <w:sz w:val="20"/>
          <w:szCs w:val="20"/>
        </w:rPr>
        <w:t xml:space="preserve">Report </w:t>
      </w:r>
      <w:r>
        <w:rPr>
          <w:rFonts w:ascii="Times New Roman" w:hAnsi="Times New Roman" w:cs="Times New Roman"/>
          <w:bCs/>
          <w:sz w:val="20"/>
          <w:szCs w:val="20"/>
        </w:rPr>
        <w:t>of 3GPP TSG RAN2#116-e meeting</w:t>
      </w:r>
    </w:p>
    <w:p w:rsidR="0005208D" w:rsidRPr="00190C57" w:rsidRDefault="0005208D" w:rsidP="006C4A5A">
      <w:pPr>
        <w:rPr>
          <w:rFonts w:ascii="Times New Roman" w:hAnsi="Times New Roman" w:cs="Times New Roman"/>
          <w:bCs/>
          <w:sz w:val="20"/>
          <w:szCs w:val="20"/>
          <w:lang w:val="en-GB"/>
        </w:rPr>
      </w:pPr>
    </w:p>
    <w:sectPr w:rsidR="0005208D" w:rsidRPr="00190C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FD5" w:rsidRDefault="00D30FD5" w:rsidP="00295EE0">
      <w:r>
        <w:separator/>
      </w:r>
    </w:p>
  </w:endnote>
  <w:endnote w:type="continuationSeparator" w:id="0">
    <w:p w:rsidR="00D30FD5" w:rsidRDefault="00D30FD5"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FD5" w:rsidRDefault="00D30FD5" w:rsidP="00295EE0">
      <w:r>
        <w:separator/>
      </w:r>
    </w:p>
  </w:footnote>
  <w:footnote w:type="continuationSeparator" w:id="0">
    <w:p w:rsidR="00D30FD5" w:rsidRDefault="00D30FD5"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6F80FBB"/>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8402E3"/>
    <w:multiLevelType w:val="hybridMultilevel"/>
    <w:tmpl w:val="38849676"/>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B6953"/>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5D5A81"/>
    <w:multiLevelType w:val="hybridMultilevel"/>
    <w:tmpl w:val="5A8871A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2412E5"/>
    <w:multiLevelType w:val="hybridMultilevel"/>
    <w:tmpl w:val="38849676"/>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D33B79"/>
    <w:multiLevelType w:val="hybridMultilevel"/>
    <w:tmpl w:val="7B561FD2"/>
    <w:lvl w:ilvl="0" w:tplc="0438327A">
      <w:start w:val="1"/>
      <w:numFmt w:val="bullet"/>
      <w:lvlText w:val="•"/>
      <w:lvlJc w:val="left"/>
      <w:pPr>
        <w:tabs>
          <w:tab w:val="num" w:pos="720"/>
        </w:tabs>
        <w:ind w:left="720" w:hanging="360"/>
      </w:pPr>
      <w:rPr>
        <w:rFonts w:ascii="Arial" w:hAnsi="Arial" w:hint="default"/>
      </w:rPr>
    </w:lvl>
    <w:lvl w:ilvl="1" w:tplc="F752B19C">
      <w:numFmt w:val="none"/>
      <w:lvlText w:val=""/>
      <w:lvlJc w:val="left"/>
      <w:pPr>
        <w:tabs>
          <w:tab w:val="num" w:pos="360"/>
        </w:tabs>
      </w:pPr>
    </w:lvl>
    <w:lvl w:ilvl="2" w:tplc="237A4EBC">
      <w:numFmt w:val="none"/>
      <w:lvlText w:val=""/>
      <w:lvlJc w:val="left"/>
      <w:pPr>
        <w:tabs>
          <w:tab w:val="num" w:pos="360"/>
        </w:tabs>
      </w:pPr>
    </w:lvl>
    <w:lvl w:ilvl="3" w:tplc="F40C004E">
      <w:numFmt w:val="none"/>
      <w:lvlText w:val=""/>
      <w:lvlJc w:val="left"/>
      <w:pPr>
        <w:tabs>
          <w:tab w:val="num" w:pos="360"/>
        </w:tabs>
      </w:pPr>
    </w:lvl>
    <w:lvl w:ilvl="4" w:tplc="28FCD1C8" w:tentative="1">
      <w:start w:val="1"/>
      <w:numFmt w:val="bullet"/>
      <w:lvlText w:val="•"/>
      <w:lvlJc w:val="left"/>
      <w:pPr>
        <w:tabs>
          <w:tab w:val="num" w:pos="3600"/>
        </w:tabs>
        <w:ind w:left="3600" w:hanging="360"/>
      </w:pPr>
      <w:rPr>
        <w:rFonts w:ascii="Arial" w:hAnsi="Arial" w:hint="default"/>
      </w:rPr>
    </w:lvl>
    <w:lvl w:ilvl="5" w:tplc="A478FA36" w:tentative="1">
      <w:start w:val="1"/>
      <w:numFmt w:val="bullet"/>
      <w:lvlText w:val="•"/>
      <w:lvlJc w:val="left"/>
      <w:pPr>
        <w:tabs>
          <w:tab w:val="num" w:pos="4320"/>
        </w:tabs>
        <w:ind w:left="4320" w:hanging="360"/>
      </w:pPr>
      <w:rPr>
        <w:rFonts w:ascii="Arial" w:hAnsi="Arial" w:hint="default"/>
      </w:rPr>
    </w:lvl>
    <w:lvl w:ilvl="6" w:tplc="8134069A" w:tentative="1">
      <w:start w:val="1"/>
      <w:numFmt w:val="bullet"/>
      <w:lvlText w:val="•"/>
      <w:lvlJc w:val="left"/>
      <w:pPr>
        <w:tabs>
          <w:tab w:val="num" w:pos="5040"/>
        </w:tabs>
        <w:ind w:left="5040" w:hanging="360"/>
      </w:pPr>
      <w:rPr>
        <w:rFonts w:ascii="Arial" w:hAnsi="Arial" w:hint="default"/>
      </w:rPr>
    </w:lvl>
    <w:lvl w:ilvl="7" w:tplc="A6708DA8" w:tentative="1">
      <w:start w:val="1"/>
      <w:numFmt w:val="bullet"/>
      <w:lvlText w:val="•"/>
      <w:lvlJc w:val="left"/>
      <w:pPr>
        <w:tabs>
          <w:tab w:val="num" w:pos="5760"/>
        </w:tabs>
        <w:ind w:left="5760" w:hanging="360"/>
      </w:pPr>
      <w:rPr>
        <w:rFonts w:ascii="Arial" w:hAnsi="Arial" w:hint="default"/>
      </w:rPr>
    </w:lvl>
    <w:lvl w:ilvl="8" w:tplc="DAEACD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D26BE1"/>
    <w:multiLevelType w:val="hybridMultilevel"/>
    <w:tmpl w:val="5A8871A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752153E3"/>
    <w:multiLevelType w:val="hybridMultilevel"/>
    <w:tmpl w:val="92DEE80C"/>
    <w:lvl w:ilvl="0" w:tplc="C28AB754">
      <w:start w:val="1"/>
      <w:numFmt w:val="decimal"/>
      <w:lvlText w:val="%1."/>
      <w:lvlJc w:val="left"/>
      <w:pPr>
        <w:ind w:left="423" w:hanging="410"/>
      </w:pPr>
      <w:rPr>
        <w:rFonts w:hint="default"/>
      </w:rPr>
    </w:lvl>
    <w:lvl w:ilvl="1" w:tplc="04090019" w:tentative="1">
      <w:start w:val="1"/>
      <w:numFmt w:val="lowerLetter"/>
      <w:lvlText w:val="%2)"/>
      <w:lvlJc w:val="left"/>
      <w:pPr>
        <w:ind w:left="853" w:hanging="420"/>
      </w:pPr>
    </w:lvl>
    <w:lvl w:ilvl="2" w:tplc="0409001B" w:tentative="1">
      <w:start w:val="1"/>
      <w:numFmt w:val="lowerRoman"/>
      <w:lvlText w:val="%3."/>
      <w:lvlJc w:val="right"/>
      <w:pPr>
        <w:ind w:left="1273" w:hanging="420"/>
      </w:pPr>
    </w:lvl>
    <w:lvl w:ilvl="3" w:tplc="0409000F" w:tentative="1">
      <w:start w:val="1"/>
      <w:numFmt w:val="decimal"/>
      <w:lvlText w:val="%4."/>
      <w:lvlJc w:val="left"/>
      <w:pPr>
        <w:ind w:left="1693" w:hanging="420"/>
      </w:pPr>
    </w:lvl>
    <w:lvl w:ilvl="4" w:tplc="04090019" w:tentative="1">
      <w:start w:val="1"/>
      <w:numFmt w:val="lowerLetter"/>
      <w:lvlText w:val="%5)"/>
      <w:lvlJc w:val="left"/>
      <w:pPr>
        <w:ind w:left="2113" w:hanging="420"/>
      </w:pPr>
    </w:lvl>
    <w:lvl w:ilvl="5" w:tplc="0409001B" w:tentative="1">
      <w:start w:val="1"/>
      <w:numFmt w:val="lowerRoman"/>
      <w:lvlText w:val="%6."/>
      <w:lvlJc w:val="right"/>
      <w:pPr>
        <w:ind w:left="2533" w:hanging="420"/>
      </w:pPr>
    </w:lvl>
    <w:lvl w:ilvl="6" w:tplc="0409000F" w:tentative="1">
      <w:start w:val="1"/>
      <w:numFmt w:val="decimal"/>
      <w:lvlText w:val="%7."/>
      <w:lvlJc w:val="left"/>
      <w:pPr>
        <w:ind w:left="2953" w:hanging="420"/>
      </w:pPr>
    </w:lvl>
    <w:lvl w:ilvl="7" w:tplc="04090019" w:tentative="1">
      <w:start w:val="1"/>
      <w:numFmt w:val="lowerLetter"/>
      <w:lvlText w:val="%8)"/>
      <w:lvlJc w:val="left"/>
      <w:pPr>
        <w:ind w:left="3373" w:hanging="420"/>
      </w:pPr>
    </w:lvl>
    <w:lvl w:ilvl="8" w:tplc="0409001B" w:tentative="1">
      <w:start w:val="1"/>
      <w:numFmt w:val="lowerRoman"/>
      <w:lvlText w:val="%9."/>
      <w:lvlJc w:val="right"/>
      <w:pPr>
        <w:ind w:left="3793" w:hanging="420"/>
      </w:pPr>
    </w:lvl>
  </w:abstractNum>
  <w:abstractNum w:abstractNumId="42"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4"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7"/>
  </w:num>
  <w:num w:numId="3">
    <w:abstractNumId w:val="21"/>
  </w:num>
  <w:num w:numId="4">
    <w:abstractNumId w:val="27"/>
  </w:num>
  <w:num w:numId="5">
    <w:abstractNumId w:val="42"/>
  </w:num>
  <w:num w:numId="6">
    <w:abstractNumId w:val="1"/>
  </w:num>
  <w:num w:numId="7">
    <w:abstractNumId w:val="33"/>
  </w:num>
  <w:num w:numId="8">
    <w:abstractNumId w:val="5"/>
  </w:num>
  <w:num w:numId="9">
    <w:abstractNumId w:val="7"/>
  </w:num>
  <w:num w:numId="10">
    <w:abstractNumId w:val="3"/>
  </w:num>
  <w:num w:numId="11">
    <w:abstractNumId w:val="16"/>
  </w:num>
  <w:num w:numId="12">
    <w:abstractNumId w:val="22"/>
  </w:num>
  <w:num w:numId="13">
    <w:abstractNumId w:val="30"/>
  </w:num>
  <w:num w:numId="14">
    <w:abstractNumId w:val="6"/>
  </w:num>
  <w:num w:numId="15">
    <w:abstractNumId w:val="39"/>
  </w:num>
  <w:num w:numId="16">
    <w:abstractNumId w:val="43"/>
  </w:num>
  <w:num w:numId="17">
    <w:abstractNumId w:val="25"/>
  </w:num>
  <w:num w:numId="18">
    <w:abstractNumId w:val="12"/>
  </w:num>
  <w:num w:numId="19">
    <w:abstractNumId w:val="36"/>
  </w:num>
  <w:num w:numId="20">
    <w:abstractNumId w:val="23"/>
  </w:num>
  <w:num w:numId="21">
    <w:abstractNumId w:val="15"/>
  </w:num>
  <w:num w:numId="22">
    <w:abstractNumId w:val="28"/>
  </w:num>
  <w:num w:numId="23">
    <w:abstractNumId w:val="0"/>
  </w:num>
  <w:num w:numId="24">
    <w:abstractNumId w:val="20"/>
  </w:num>
  <w:num w:numId="25">
    <w:abstractNumId w:val="44"/>
  </w:num>
  <w:num w:numId="26">
    <w:abstractNumId w:val="32"/>
  </w:num>
  <w:num w:numId="27">
    <w:abstractNumId w:val="31"/>
  </w:num>
  <w:num w:numId="28">
    <w:abstractNumId w:val="9"/>
  </w:num>
  <w:num w:numId="29">
    <w:abstractNumId w:val="35"/>
  </w:num>
  <w:num w:numId="30">
    <w:abstractNumId w:val="40"/>
  </w:num>
  <w:num w:numId="31">
    <w:abstractNumId w:val="40"/>
  </w:num>
  <w:num w:numId="32">
    <w:abstractNumId w:val="13"/>
  </w:num>
  <w:num w:numId="33">
    <w:abstractNumId w:val="45"/>
  </w:num>
  <w:num w:numId="34">
    <w:abstractNumId w:val="18"/>
  </w:num>
  <w:num w:numId="35">
    <w:abstractNumId w:val="4"/>
  </w:num>
  <w:num w:numId="36">
    <w:abstractNumId w:val="41"/>
  </w:num>
  <w:num w:numId="37">
    <w:abstractNumId w:val="26"/>
  </w:num>
  <w:num w:numId="38">
    <w:abstractNumId w:val="24"/>
  </w:num>
  <w:num w:numId="39">
    <w:abstractNumId w:val="10"/>
  </w:num>
  <w:num w:numId="40">
    <w:abstractNumId w:val="2"/>
  </w:num>
  <w:num w:numId="41">
    <w:abstractNumId w:val="38"/>
  </w:num>
  <w:num w:numId="42">
    <w:abstractNumId w:val="14"/>
  </w:num>
  <w:num w:numId="43">
    <w:abstractNumId w:val="19"/>
  </w:num>
  <w:num w:numId="44">
    <w:abstractNumId w:val="11"/>
  </w:num>
  <w:num w:numId="45">
    <w:abstractNumId w:val="40"/>
  </w:num>
  <w:num w:numId="46">
    <w:abstractNumId w:val="17"/>
  </w:num>
  <w:num w:numId="47">
    <w:abstractNumId w:val="29"/>
  </w:num>
  <w:num w:numId="48">
    <w:abstractNumId w:val="8"/>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3555E"/>
    <w:rsid w:val="00041155"/>
    <w:rsid w:val="0005208D"/>
    <w:rsid w:val="00057E7C"/>
    <w:rsid w:val="00077FD6"/>
    <w:rsid w:val="00082FD8"/>
    <w:rsid w:val="0009018E"/>
    <w:rsid w:val="00090C1D"/>
    <w:rsid w:val="000A4649"/>
    <w:rsid w:val="000A69C4"/>
    <w:rsid w:val="000B3119"/>
    <w:rsid w:val="000B3454"/>
    <w:rsid w:val="000C0D75"/>
    <w:rsid w:val="000D37C4"/>
    <w:rsid w:val="000E4E14"/>
    <w:rsid w:val="000F3390"/>
    <w:rsid w:val="001071AE"/>
    <w:rsid w:val="00111BE9"/>
    <w:rsid w:val="00112DC6"/>
    <w:rsid w:val="00121ABC"/>
    <w:rsid w:val="00136683"/>
    <w:rsid w:val="00152F1F"/>
    <w:rsid w:val="001531D5"/>
    <w:rsid w:val="0015555D"/>
    <w:rsid w:val="00164434"/>
    <w:rsid w:val="00190C57"/>
    <w:rsid w:val="001934CD"/>
    <w:rsid w:val="00197540"/>
    <w:rsid w:val="001B6426"/>
    <w:rsid w:val="001B6542"/>
    <w:rsid w:val="001B6BA6"/>
    <w:rsid w:val="001C0E94"/>
    <w:rsid w:val="001C14A4"/>
    <w:rsid w:val="001C15CB"/>
    <w:rsid w:val="001C2164"/>
    <w:rsid w:val="001D07C4"/>
    <w:rsid w:val="001D7E8F"/>
    <w:rsid w:val="001E40D2"/>
    <w:rsid w:val="001E4942"/>
    <w:rsid w:val="001E772A"/>
    <w:rsid w:val="001E7CA3"/>
    <w:rsid w:val="001E7DC2"/>
    <w:rsid w:val="001F0ACE"/>
    <w:rsid w:val="001F24A9"/>
    <w:rsid w:val="00212654"/>
    <w:rsid w:val="00230331"/>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C4632"/>
    <w:rsid w:val="002D5738"/>
    <w:rsid w:val="002D6AC0"/>
    <w:rsid w:val="002E1F64"/>
    <w:rsid w:val="002E671C"/>
    <w:rsid w:val="002F18D3"/>
    <w:rsid w:val="002F1FA2"/>
    <w:rsid w:val="002F224D"/>
    <w:rsid w:val="002F7213"/>
    <w:rsid w:val="002F7A92"/>
    <w:rsid w:val="00324A1E"/>
    <w:rsid w:val="00326552"/>
    <w:rsid w:val="00327CF6"/>
    <w:rsid w:val="00334ECF"/>
    <w:rsid w:val="00340326"/>
    <w:rsid w:val="00350751"/>
    <w:rsid w:val="00353D68"/>
    <w:rsid w:val="0035713A"/>
    <w:rsid w:val="0038335C"/>
    <w:rsid w:val="003839DC"/>
    <w:rsid w:val="00391990"/>
    <w:rsid w:val="00393BD6"/>
    <w:rsid w:val="003B1CE4"/>
    <w:rsid w:val="003C48EB"/>
    <w:rsid w:val="003C640A"/>
    <w:rsid w:val="003C7618"/>
    <w:rsid w:val="003C7625"/>
    <w:rsid w:val="003D21E5"/>
    <w:rsid w:val="003D4A96"/>
    <w:rsid w:val="003E1EC9"/>
    <w:rsid w:val="003E2D44"/>
    <w:rsid w:val="003E6249"/>
    <w:rsid w:val="003E7430"/>
    <w:rsid w:val="0040403B"/>
    <w:rsid w:val="00404D51"/>
    <w:rsid w:val="00411855"/>
    <w:rsid w:val="00412A23"/>
    <w:rsid w:val="0041443A"/>
    <w:rsid w:val="00424C55"/>
    <w:rsid w:val="004358B4"/>
    <w:rsid w:val="00436430"/>
    <w:rsid w:val="00436870"/>
    <w:rsid w:val="0044153C"/>
    <w:rsid w:val="00442121"/>
    <w:rsid w:val="0044369D"/>
    <w:rsid w:val="0044370F"/>
    <w:rsid w:val="00453262"/>
    <w:rsid w:val="0046251C"/>
    <w:rsid w:val="004636FA"/>
    <w:rsid w:val="00471197"/>
    <w:rsid w:val="00487646"/>
    <w:rsid w:val="004918C2"/>
    <w:rsid w:val="00493185"/>
    <w:rsid w:val="004937C6"/>
    <w:rsid w:val="00497E27"/>
    <w:rsid w:val="004A51B0"/>
    <w:rsid w:val="004B04B9"/>
    <w:rsid w:val="004B2E78"/>
    <w:rsid w:val="004B7437"/>
    <w:rsid w:val="004C09B5"/>
    <w:rsid w:val="004C5B25"/>
    <w:rsid w:val="004D1297"/>
    <w:rsid w:val="004D1D42"/>
    <w:rsid w:val="004E4924"/>
    <w:rsid w:val="004F2EA6"/>
    <w:rsid w:val="004F52EA"/>
    <w:rsid w:val="004F5A8F"/>
    <w:rsid w:val="004F7EA5"/>
    <w:rsid w:val="00511D3A"/>
    <w:rsid w:val="00522EB1"/>
    <w:rsid w:val="005241DD"/>
    <w:rsid w:val="00524BFB"/>
    <w:rsid w:val="00533764"/>
    <w:rsid w:val="00542E68"/>
    <w:rsid w:val="005439FE"/>
    <w:rsid w:val="00553E41"/>
    <w:rsid w:val="005652FD"/>
    <w:rsid w:val="00570385"/>
    <w:rsid w:val="005A0CEE"/>
    <w:rsid w:val="005A5CEF"/>
    <w:rsid w:val="005B36E6"/>
    <w:rsid w:val="005C00A9"/>
    <w:rsid w:val="005C3F04"/>
    <w:rsid w:val="005C720E"/>
    <w:rsid w:val="005D1E05"/>
    <w:rsid w:val="005D46D8"/>
    <w:rsid w:val="005D79F4"/>
    <w:rsid w:val="005E56D9"/>
    <w:rsid w:val="005E6841"/>
    <w:rsid w:val="005E6D05"/>
    <w:rsid w:val="005F0CEC"/>
    <w:rsid w:val="00601DCA"/>
    <w:rsid w:val="006051A2"/>
    <w:rsid w:val="00610A5F"/>
    <w:rsid w:val="0061499A"/>
    <w:rsid w:val="00617389"/>
    <w:rsid w:val="006211BE"/>
    <w:rsid w:val="00622608"/>
    <w:rsid w:val="00622888"/>
    <w:rsid w:val="006229A4"/>
    <w:rsid w:val="006256EA"/>
    <w:rsid w:val="00625F41"/>
    <w:rsid w:val="00633F6A"/>
    <w:rsid w:val="00635B81"/>
    <w:rsid w:val="00646E7A"/>
    <w:rsid w:val="00650AC9"/>
    <w:rsid w:val="00656972"/>
    <w:rsid w:val="006624C5"/>
    <w:rsid w:val="00664D53"/>
    <w:rsid w:val="006713AE"/>
    <w:rsid w:val="0069295D"/>
    <w:rsid w:val="00693EE5"/>
    <w:rsid w:val="006A6289"/>
    <w:rsid w:val="006A7A41"/>
    <w:rsid w:val="006B229F"/>
    <w:rsid w:val="006B52DC"/>
    <w:rsid w:val="006B7EA1"/>
    <w:rsid w:val="006C4A5A"/>
    <w:rsid w:val="006D5E1F"/>
    <w:rsid w:val="006E17E8"/>
    <w:rsid w:val="006F558C"/>
    <w:rsid w:val="007229F5"/>
    <w:rsid w:val="00723BCD"/>
    <w:rsid w:val="0072572B"/>
    <w:rsid w:val="00727E6D"/>
    <w:rsid w:val="00735DD5"/>
    <w:rsid w:val="00745864"/>
    <w:rsid w:val="00747DE3"/>
    <w:rsid w:val="007516B8"/>
    <w:rsid w:val="0075627C"/>
    <w:rsid w:val="00757798"/>
    <w:rsid w:val="0076284F"/>
    <w:rsid w:val="00764614"/>
    <w:rsid w:val="00783700"/>
    <w:rsid w:val="007B410C"/>
    <w:rsid w:val="007B680D"/>
    <w:rsid w:val="007C0150"/>
    <w:rsid w:val="007C71B8"/>
    <w:rsid w:val="007D3840"/>
    <w:rsid w:val="007E1C5E"/>
    <w:rsid w:val="007E2543"/>
    <w:rsid w:val="007F1113"/>
    <w:rsid w:val="007F4C93"/>
    <w:rsid w:val="007F7DD8"/>
    <w:rsid w:val="008014EC"/>
    <w:rsid w:val="008020D7"/>
    <w:rsid w:val="00807409"/>
    <w:rsid w:val="008110E3"/>
    <w:rsid w:val="0081333A"/>
    <w:rsid w:val="0081426F"/>
    <w:rsid w:val="00816638"/>
    <w:rsid w:val="00836368"/>
    <w:rsid w:val="00844CD4"/>
    <w:rsid w:val="00846B30"/>
    <w:rsid w:val="008474A2"/>
    <w:rsid w:val="00854414"/>
    <w:rsid w:val="00856FAE"/>
    <w:rsid w:val="00866B40"/>
    <w:rsid w:val="008732D9"/>
    <w:rsid w:val="00882E7A"/>
    <w:rsid w:val="00885204"/>
    <w:rsid w:val="008A4205"/>
    <w:rsid w:val="008A4DDD"/>
    <w:rsid w:val="008E641F"/>
    <w:rsid w:val="008E7C29"/>
    <w:rsid w:val="008F3756"/>
    <w:rsid w:val="009048F5"/>
    <w:rsid w:val="00907311"/>
    <w:rsid w:val="00926593"/>
    <w:rsid w:val="00927DC5"/>
    <w:rsid w:val="00931A41"/>
    <w:rsid w:val="009356C9"/>
    <w:rsid w:val="00953B4A"/>
    <w:rsid w:val="009559F6"/>
    <w:rsid w:val="00961E1B"/>
    <w:rsid w:val="00964440"/>
    <w:rsid w:val="00982C2E"/>
    <w:rsid w:val="00997E38"/>
    <w:rsid w:val="009B31FA"/>
    <w:rsid w:val="009C233B"/>
    <w:rsid w:val="009D05B2"/>
    <w:rsid w:val="009D2FA4"/>
    <w:rsid w:val="009D762A"/>
    <w:rsid w:val="009E1AB0"/>
    <w:rsid w:val="009E3872"/>
    <w:rsid w:val="009E3F07"/>
    <w:rsid w:val="009F4ACA"/>
    <w:rsid w:val="009F6673"/>
    <w:rsid w:val="009F6F1C"/>
    <w:rsid w:val="00A00DF2"/>
    <w:rsid w:val="00A06A1E"/>
    <w:rsid w:val="00A30B21"/>
    <w:rsid w:val="00A314CD"/>
    <w:rsid w:val="00A36886"/>
    <w:rsid w:val="00A40DD3"/>
    <w:rsid w:val="00A41EE1"/>
    <w:rsid w:val="00A43146"/>
    <w:rsid w:val="00A66D35"/>
    <w:rsid w:val="00A82A0D"/>
    <w:rsid w:val="00A86944"/>
    <w:rsid w:val="00A86D70"/>
    <w:rsid w:val="00A87BC4"/>
    <w:rsid w:val="00A92D8C"/>
    <w:rsid w:val="00AA2436"/>
    <w:rsid w:val="00AB062F"/>
    <w:rsid w:val="00AB1CA5"/>
    <w:rsid w:val="00AB55ED"/>
    <w:rsid w:val="00AC1703"/>
    <w:rsid w:val="00AC1D95"/>
    <w:rsid w:val="00AC33E5"/>
    <w:rsid w:val="00AC651C"/>
    <w:rsid w:val="00AD325A"/>
    <w:rsid w:val="00AF0963"/>
    <w:rsid w:val="00AF2932"/>
    <w:rsid w:val="00AF374A"/>
    <w:rsid w:val="00AF6610"/>
    <w:rsid w:val="00B019D9"/>
    <w:rsid w:val="00B076A2"/>
    <w:rsid w:val="00B16888"/>
    <w:rsid w:val="00B34EAF"/>
    <w:rsid w:val="00B359EB"/>
    <w:rsid w:val="00B40311"/>
    <w:rsid w:val="00B5355A"/>
    <w:rsid w:val="00B55BDB"/>
    <w:rsid w:val="00B62778"/>
    <w:rsid w:val="00B669C4"/>
    <w:rsid w:val="00B70D18"/>
    <w:rsid w:val="00BA641D"/>
    <w:rsid w:val="00BA6A49"/>
    <w:rsid w:val="00BB4968"/>
    <w:rsid w:val="00BC1288"/>
    <w:rsid w:val="00BC7374"/>
    <w:rsid w:val="00BD61EA"/>
    <w:rsid w:val="00BF0FBA"/>
    <w:rsid w:val="00BF5038"/>
    <w:rsid w:val="00BF6527"/>
    <w:rsid w:val="00BF6875"/>
    <w:rsid w:val="00C0651A"/>
    <w:rsid w:val="00C124E6"/>
    <w:rsid w:val="00C15D1A"/>
    <w:rsid w:val="00C20F4A"/>
    <w:rsid w:val="00C235A5"/>
    <w:rsid w:val="00C24306"/>
    <w:rsid w:val="00C26B65"/>
    <w:rsid w:val="00C30C3A"/>
    <w:rsid w:val="00C33385"/>
    <w:rsid w:val="00C44B6A"/>
    <w:rsid w:val="00C50C56"/>
    <w:rsid w:val="00C521E8"/>
    <w:rsid w:val="00C54E69"/>
    <w:rsid w:val="00C57696"/>
    <w:rsid w:val="00C61061"/>
    <w:rsid w:val="00C628D5"/>
    <w:rsid w:val="00C64101"/>
    <w:rsid w:val="00C72E96"/>
    <w:rsid w:val="00CB5439"/>
    <w:rsid w:val="00CC0469"/>
    <w:rsid w:val="00CC36CD"/>
    <w:rsid w:val="00CD4AD1"/>
    <w:rsid w:val="00CE22DC"/>
    <w:rsid w:val="00CE6EA1"/>
    <w:rsid w:val="00CF2C90"/>
    <w:rsid w:val="00D04F6E"/>
    <w:rsid w:val="00D146D5"/>
    <w:rsid w:val="00D154EE"/>
    <w:rsid w:val="00D2139F"/>
    <w:rsid w:val="00D245B8"/>
    <w:rsid w:val="00D25987"/>
    <w:rsid w:val="00D25FDA"/>
    <w:rsid w:val="00D30FD5"/>
    <w:rsid w:val="00D32851"/>
    <w:rsid w:val="00D35EAE"/>
    <w:rsid w:val="00D408B1"/>
    <w:rsid w:val="00D52674"/>
    <w:rsid w:val="00D53D52"/>
    <w:rsid w:val="00D647B5"/>
    <w:rsid w:val="00D65006"/>
    <w:rsid w:val="00D71435"/>
    <w:rsid w:val="00D834BA"/>
    <w:rsid w:val="00D91383"/>
    <w:rsid w:val="00D9573A"/>
    <w:rsid w:val="00D979B2"/>
    <w:rsid w:val="00DA0FA2"/>
    <w:rsid w:val="00DA53B7"/>
    <w:rsid w:val="00DB3205"/>
    <w:rsid w:val="00DD0E11"/>
    <w:rsid w:val="00DE056B"/>
    <w:rsid w:val="00DE6529"/>
    <w:rsid w:val="00DF581D"/>
    <w:rsid w:val="00DF5DC5"/>
    <w:rsid w:val="00E112EE"/>
    <w:rsid w:val="00E21702"/>
    <w:rsid w:val="00E33A79"/>
    <w:rsid w:val="00E41CD4"/>
    <w:rsid w:val="00E54C7B"/>
    <w:rsid w:val="00E60364"/>
    <w:rsid w:val="00E63A0F"/>
    <w:rsid w:val="00E74FFB"/>
    <w:rsid w:val="00E75B1A"/>
    <w:rsid w:val="00E830E3"/>
    <w:rsid w:val="00E855BA"/>
    <w:rsid w:val="00E8681C"/>
    <w:rsid w:val="00E87E1E"/>
    <w:rsid w:val="00E93CFB"/>
    <w:rsid w:val="00E93E96"/>
    <w:rsid w:val="00E9502A"/>
    <w:rsid w:val="00E95196"/>
    <w:rsid w:val="00EA38CF"/>
    <w:rsid w:val="00EA596B"/>
    <w:rsid w:val="00EC0DDA"/>
    <w:rsid w:val="00EC72D5"/>
    <w:rsid w:val="00ED0A48"/>
    <w:rsid w:val="00EE6266"/>
    <w:rsid w:val="00EE795C"/>
    <w:rsid w:val="00EF1E35"/>
    <w:rsid w:val="00EF4893"/>
    <w:rsid w:val="00F010E2"/>
    <w:rsid w:val="00F05984"/>
    <w:rsid w:val="00F12396"/>
    <w:rsid w:val="00F1468B"/>
    <w:rsid w:val="00F175CB"/>
    <w:rsid w:val="00F3367D"/>
    <w:rsid w:val="00F47ABF"/>
    <w:rsid w:val="00F55057"/>
    <w:rsid w:val="00F564BA"/>
    <w:rsid w:val="00F5719E"/>
    <w:rsid w:val="00F57684"/>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7776"/>
    <w:rsid w:val="00FC307E"/>
    <w:rsid w:val="00FC3423"/>
    <w:rsid w:val="00FC51BD"/>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3723"/>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2207</TotalTime>
  <Pages>1</Pages>
  <Words>1385</Words>
  <Characters>7901</Characters>
  <Application>Microsoft Office Word</Application>
  <DocSecurity>0</DocSecurity>
  <Lines>65</Lines>
  <Paragraphs>18</Paragraphs>
  <ScaleCrop>false</ScaleCrop>
  <Company>CATT</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18</cp:revision>
  <dcterms:created xsi:type="dcterms:W3CDTF">2021-01-11T13:39:00Z</dcterms:created>
  <dcterms:modified xsi:type="dcterms:W3CDTF">2022-01-10T12:10:00Z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